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0E" w:rsidRPr="00177AFD" w:rsidRDefault="0047240E" w:rsidP="0047240E">
      <w:pPr>
        <w:keepNext/>
        <w:keepLines/>
        <w:spacing w:before="340" w:after="330"/>
        <w:jc w:val="center"/>
        <w:outlineLvl w:val="0"/>
        <w:rPr>
          <w:rFonts w:ascii="宋体" w:eastAsia="宋体" w:hAnsi="宋体" w:cs="Times New Roman"/>
          <w:b/>
          <w:bCs/>
          <w:kern w:val="44"/>
          <w:sz w:val="44"/>
          <w:szCs w:val="44"/>
        </w:rPr>
      </w:pPr>
      <w:r w:rsidRPr="00177AFD">
        <w:rPr>
          <w:rFonts w:ascii="宋体" w:eastAsia="宋体" w:hAnsi="宋体" w:cs="Times New Roman" w:hint="eastAsia"/>
          <w:b/>
          <w:bCs/>
          <w:kern w:val="44"/>
          <w:sz w:val="44"/>
          <w:szCs w:val="44"/>
        </w:rPr>
        <w:t>采购项目技术、服务、政府采购合同内容条款及其他商务要求</w:t>
      </w:r>
    </w:p>
    <w:p w:rsidR="0047240E" w:rsidRPr="00177AFD" w:rsidRDefault="0047240E" w:rsidP="0047240E">
      <w:pPr>
        <w:spacing w:before="260" w:after="260" w:line="340" w:lineRule="exact"/>
        <w:outlineLvl w:val="1"/>
        <w:rPr>
          <w:rFonts w:ascii="宋体" w:hAnsi="宋体"/>
          <w:b/>
          <w:bCs/>
          <w:sz w:val="28"/>
          <w:szCs w:val="28"/>
        </w:rPr>
      </w:pPr>
      <w:r w:rsidRPr="00177AFD">
        <w:rPr>
          <w:rFonts w:ascii="宋体" w:hAnsi="宋体" w:hint="eastAsia"/>
          <w:b/>
          <w:bCs/>
          <w:sz w:val="28"/>
          <w:szCs w:val="28"/>
        </w:rPr>
        <w:t>一、 项目概述</w:t>
      </w:r>
    </w:p>
    <w:p w:rsidR="0047240E" w:rsidRPr="00177AFD" w:rsidRDefault="0047240E" w:rsidP="0047240E">
      <w:pPr>
        <w:spacing w:line="360" w:lineRule="auto"/>
        <w:jc w:val="left"/>
        <w:rPr>
          <w:rFonts w:ascii="宋体" w:hAnsi="宋体"/>
          <w:sz w:val="24"/>
        </w:rPr>
      </w:pPr>
      <w:r w:rsidRPr="00177AFD">
        <w:rPr>
          <w:rFonts w:ascii="宋体" w:hAnsi="宋体" w:hint="eastAsia"/>
          <w:sz w:val="24"/>
        </w:rPr>
        <w:t>1、项目名称：</w:t>
      </w:r>
      <w:bookmarkStart w:id="0" w:name="_GoBack"/>
      <w:r w:rsidRPr="00177AFD">
        <w:rPr>
          <w:rFonts w:ascii="宋体" w:hAnsi="宋体" w:hint="eastAsia"/>
          <w:sz w:val="24"/>
        </w:rPr>
        <w:t>中江县2022年度中央财政农业生产发展资金四川省油菜优势特色产业集群项目油菜全程机械化服务采购</w:t>
      </w:r>
      <w:bookmarkEnd w:id="0"/>
      <w:r w:rsidRPr="00177AFD">
        <w:rPr>
          <w:rFonts w:ascii="宋体" w:hAnsi="宋体" w:hint="eastAsia"/>
          <w:sz w:val="24"/>
        </w:rPr>
        <w:t>。</w:t>
      </w:r>
    </w:p>
    <w:p w:rsidR="0047240E" w:rsidRPr="00177AFD" w:rsidRDefault="0047240E" w:rsidP="0047240E">
      <w:pPr>
        <w:spacing w:line="360" w:lineRule="auto"/>
        <w:rPr>
          <w:rFonts w:ascii="宋体" w:hAnsi="宋体"/>
          <w:sz w:val="24"/>
        </w:rPr>
      </w:pPr>
      <w:r w:rsidRPr="00177AFD">
        <w:rPr>
          <w:rFonts w:ascii="宋体" w:hAnsi="宋体" w:hint="eastAsia"/>
          <w:sz w:val="24"/>
        </w:rPr>
        <w:t>2、项目业主：中江县农业农村局</w:t>
      </w:r>
    </w:p>
    <w:p w:rsidR="0047240E" w:rsidRPr="00177AFD" w:rsidRDefault="0047240E" w:rsidP="0047240E">
      <w:pPr>
        <w:spacing w:line="360" w:lineRule="auto"/>
        <w:rPr>
          <w:rFonts w:ascii="宋体" w:hAnsi="宋体"/>
          <w:sz w:val="24"/>
        </w:rPr>
      </w:pPr>
      <w:r w:rsidRPr="00177AFD">
        <w:rPr>
          <w:rFonts w:ascii="宋体" w:hAnsi="宋体" w:hint="eastAsia"/>
          <w:sz w:val="24"/>
        </w:rPr>
        <w:t>3、实施地点：第一包：会龙镇、</w:t>
      </w:r>
      <w:proofErr w:type="gramStart"/>
      <w:r w:rsidRPr="00177AFD">
        <w:rPr>
          <w:rFonts w:ascii="宋体" w:hAnsi="宋体" w:hint="eastAsia"/>
          <w:sz w:val="24"/>
        </w:rPr>
        <w:t>冯</w:t>
      </w:r>
      <w:proofErr w:type="gramEnd"/>
      <w:r w:rsidRPr="00177AFD">
        <w:rPr>
          <w:rFonts w:ascii="宋体" w:hAnsi="宋体" w:hint="eastAsia"/>
          <w:sz w:val="24"/>
        </w:rPr>
        <w:t>店镇、积金镇、太安镇；第二包：回龙镇、悦来镇、广福镇；第三包：联合镇、万福镇。服务总面积共计10000亩。主要以种植大户、粮食生产专业合作社、家庭农场、村集体经济等为重点，鼓励优先向种植大户开展的适度规模连片实施。</w:t>
      </w:r>
    </w:p>
    <w:p w:rsidR="0047240E" w:rsidRPr="00177AFD" w:rsidRDefault="0047240E" w:rsidP="0047240E">
      <w:pPr>
        <w:spacing w:line="360" w:lineRule="auto"/>
        <w:rPr>
          <w:rFonts w:ascii="宋体" w:hAnsi="宋体"/>
          <w:sz w:val="24"/>
        </w:rPr>
      </w:pPr>
      <w:r w:rsidRPr="00177AFD">
        <w:rPr>
          <w:rFonts w:ascii="宋体" w:hAnsi="宋体" w:hint="eastAsia"/>
          <w:sz w:val="24"/>
        </w:rPr>
        <w:t>4、实施内容：</w:t>
      </w:r>
      <w:r w:rsidRPr="00177AFD">
        <w:rPr>
          <w:rFonts w:ascii="宋体" w:hAnsi="宋体" w:cs="宋体" w:hint="eastAsia"/>
          <w:sz w:val="24"/>
        </w:rPr>
        <w:tab/>
      </w:r>
      <w:r w:rsidRPr="00177AFD">
        <w:rPr>
          <w:rFonts w:ascii="宋体" w:hAnsi="宋体" w:hint="eastAsia"/>
          <w:sz w:val="24"/>
        </w:rPr>
        <w:t>中江县2022年度中央财政农业生产发展资金四川省油菜优势特色产业集群项目油菜全程机械化服务</w:t>
      </w:r>
      <w:r w:rsidRPr="00177AFD">
        <w:rPr>
          <w:rFonts w:ascii="宋体" w:hAnsi="宋体" w:cs="宋体" w:hint="eastAsia"/>
          <w:sz w:val="24"/>
        </w:rPr>
        <w:t>采购</w:t>
      </w:r>
      <w:r w:rsidRPr="00177AFD">
        <w:rPr>
          <w:rFonts w:ascii="宋体" w:hAnsi="宋体" w:hint="eastAsia"/>
          <w:sz w:val="24"/>
        </w:rPr>
        <w:t xml:space="preserve">对油菜生产中的机播（原则上能够机耕的田块要机耕后直播）和两段机收环节进行定额补助，鉴于油菜种植收割时间短、季节性强，为确保按时按质实施项目，本项目结合地理位置、任务面积和前期乡镇申报意愿对油菜全程机械化生产分为3个包组，分油菜机播和油菜两段机收2个机械作业内容。 </w:t>
      </w:r>
    </w:p>
    <w:p w:rsidR="0047240E" w:rsidRPr="00177AFD" w:rsidRDefault="0047240E" w:rsidP="0047240E">
      <w:pPr>
        <w:numPr>
          <w:ilvl w:val="0"/>
          <w:numId w:val="1"/>
        </w:numPr>
        <w:spacing w:line="360" w:lineRule="auto"/>
        <w:rPr>
          <w:rFonts w:ascii="宋体" w:hAnsi="宋体"/>
          <w:sz w:val="24"/>
        </w:rPr>
      </w:pPr>
      <w:r w:rsidRPr="00177AFD">
        <w:rPr>
          <w:rFonts w:ascii="宋体" w:hAnsi="宋体" w:hint="eastAsia"/>
          <w:sz w:val="24"/>
        </w:rPr>
        <w:t>实施时间：2023年9 月至2024年5月。</w:t>
      </w:r>
      <w:r w:rsidRPr="00177AFD">
        <w:rPr>
          <w:rFonts w:ascii="宋体" w:hAnsi="宋体"/>
          <w:sz w:val="24"/>
        </w:rPr>
        <w:tab/>
      </w:r>
    </w:p>
    <w:p w:rsidR="0047240E" w:rsidRPr="00177AFD" w:rsidRDefault="0047240E" w:rsidP="0047240E">
      <w:pPr>
        <w:numPr>
          <w:ilvl w:val="0"/>
          <w:numId w:val="1"/>
        </w:numPr>
        <w:spacing w:after="120" w:line="360" w:lineRule="auto"/>
        <w:rPr>
          <w:rFonts w:ascii="宋体" w:hAnsi="宋体"/>
          <w:bCs/>
          <w:sz w:val="24"/>
        </w:rPr>
      </w:pPr>
      <w:r w:rsidRPr="00177AFD">
        <w:rPr>
          <w:rFonts w:ascii="宋体" w:hAnsi="宋体" w:hint="eastAsia"/>
          <w:bCs/>
          <w:sz w:val="24"/>
        </w:rPr>
        <w:t xml:space="preserve"> 本项目采用“兼投不兼中”方式进行招标，供应商可同时对一个或多个包组进行响应（但各包组响应须一致），每一个供应商只能按包组顺序成交一个包组，不可同时成交多个包组。在第一包中被推荐为第一成交候选供应商可参与第二包评审，但不得推荐为第二包的第一成交候选供应商，第二包第二成交候选供应商则推荐为第二包第一成交供应商，以此类推。</w:t>
      </w:r>
    </w:p>
    <w:p w:rsidR="0047240E" w:rsidRPr="00177AFD" w:rsidRDefault="0047240E" w:rsidP="0047240E">
      <w:pPr>
        <w:spacing w:after="120" w:line="360" w:lineRule="auto"/>
        <w:rPr>
          <w:rFonts w:ascii="宋体" w:hAnsi="宋体"/>
          <w:b/>
          <w:bCs/>
          <w:sz w:val="28"/>
          <w:szCs w:val="28"/>
          <w:highlight w:val="yellow"/>
        </w:rPr>
      </w:pPr>
      <w:r w:rsidRPr="00177AFD">
        <w:rPr>
          <w:rFonts w:ascii="宋体" w:hAnsi="宋体" w:hint="eastAsia"/>
          <w:b/>
          <w:bCs/>
          <w:sz w:val="28"/>
          <w:szCs w:val="28"/>
        </w:rPr>
        <w:t>二、项目清单</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3031"/>
        <w:gridCol w:w="2205"/>
        <w:gridCol w:w="1425"/>
        <w:gridCol w:w="1764"/>
      </w:tblGrid>
      <w:tr w:rsidR="0047240E" w:rsidRPr="00177AFD" w:rsidTr="002A75E4">
        <w:trPr>
          <w:trHeight w:val="468"/>
          <w:jc w:val="center"/>
        </w:trPr>
        <w:tc>
          <w:tcPr>
            <w:tcW w:w="3989" w:type="dxa"/>
            <w:gridSpan w:val="2"/>
            <w:vMerge w:val="restart"/>
            <w:vAlign w:val="center"/>
          </w:tcPr>
          <w:p w:rsidR="0047240E" w:rsidRPr="00177AFD" w:rsidRDefault="0047240E" w:rsidP="002A75E4">
            <w:pPr>
              <w:spacing w:line="360" w:lineRule="auto"/>
              <w:jc w:val="center"/>
              <w:rPr>
                <w:rFonts w:ascii="宋体" w:hAnsi="宋体"/>
                <w:sz w:val="24"/>
              </w:rPr>
            </w:pPr>
            <w:r w:rsidRPr="00177AFD">
              <w:rPr>
                <w:rFonts w:ascii="宋体" w:hAnsi="宋体" w:hint="eastAsia"/>
                <w:sz w:val="24"/>
              </w:rPr>
              <w:t>分包情况</w:t>
            </w:r>
          </w:p>
          <w:p w:rsidR="0047240E" w:rsidRPr="00177AFD" w:rsidRDefault="0047240E" w:rsidP="002A75E4">
            <w:pPr>
              <w:spacing w:line="360" w:lineRule="auto"/>
              <w:jc w:val="center"/>
              <w:rPr>
                <w:rFonts w:ascii="宋体" w:hAnsi="宋体"/>
                <w:sz w:val="24"/>
              </w:rPr>
            </w:pPr>
          </w:p>
        </w:tc>
        <w:tc>
          <w:tcPr>
            <w:tcW w:w="3630" w:type="dxa"/>
            <w:gridSpan w:val="2"/>
            <w:vAlign w:val="center"/>
          </w:tcPr>
          <w:p w:rsidR="0047240E" w:rsidRPr="00177AFD" w:rsidRDefault="0047240E" w:rsidP="002A75E4">
            <w:pPr>
              <w:spacing w:line="360" w:lineRule="auto"/>
              <w:jc w:val="center"/>
              <w:rPr>
                <w:rFonts w:ascii="宋体" w:hAnsi="宋体"/>
                <w:sz w:val="24"/>
              </w:rPr>
            </w:pPr>
            <w:r w:rsidRPr="00177AFD">
              <w:rPr>
                <w:rFonts w:ascii="宋体" w:hAnsi="宋体" w:hint="eastAsia"/>
                <w:sz w:val="24"/>
              </w:rPr>
              <w:t>作业内容及数量补助金额</w:t>
            </w:r>
          </w:p>
        </w:tc>
        <w:tc>
          <w:tcPr>
            <w:tcW w:w="1764" w:type="dxa"/>
            <w:vMerge w:val="restart"/>
            <w:vAlign w:val="center"/>
          </w:tcPr>
          <w:p w:rsidR="0047240E" w:rsidRPr="00177AFD" w:rsidRDefault="0047240E" w:rsidP="002A75E4">
            <w:pPr>
              <w:spacing w:line="360" w:lineRule="auto"/>
              <w:jc w:val="center"/>
              <w:rPr>
                <w:rFonts w:ascii="宋体" w:hAnsi="宋体"/>
                <w:sz w:val="24"/>
              </w:rPr>
            </w:pPr>
            <w:r w:rsidRPr="00177AFD">
              <w:rPr>
                <w:rFonts w:ascii="宋体" w:hAnsi="宋体" w:hint="eastAsia"/>
                <w:sz w:val="24"/>
              </w:rPr>
              <w:t>补助金额合计</w:t>
            </w:r>
          </w:p>
          <w:p w:rsidR="0047240E" w:rsidRPr="00177AFD" w:rsidRDefault="0047240E" w:rsidP="002A75E4">
            <w:pPr>
              <w:spacing w:line="360" w:lineRule="auto"/>
              <w:jc w:val="center"/>
              <w:rPr>
                <w:rFonts w:ascii="宋体" w:hAnsi="宋体"/>
                <w:sz w:val="24"/>
              </w:rPr>
            </w:pPr>
            <w:r w:rsidRPr="00177AFD">
              <w:rPr>
                <w:rFonts w:ascii="宋体" w:hAnsi="宋体" w:hint="eastAsia"/>
                <w:sz w:val="24"/>
              </w:rPr>
              <w:t>（万元）</w:t>
            </w:r>
          </w:p>
        </w:tc>
      </w:tr>
      <w:tr w:rsidR="0047240E" w:rsidRPr="00177AFD" w:rsidTr="002A75E4">
        <w:trPr>
          <w:trHeight w:val="468"/>
          <w:jc w:val="center"/>
        </w:trPr>
        <w:tc>
          <w:tcPr>
            <w:tcW w:w="3989" w:type="dxa"/>
            <w:gridSpan w:val="2"/>
            <w:vMerge/>
            <w:vAlign w:val="center"/>
          </w:tcPr>
          <w:p w:rsidR="0047240E" w:rsidRPr="00177AFD" w:rsidRDefault="0047240E" w:rsidP="002A75E4">
            <w:pPr>
              <w:spacing w:line="360" w:lineRule="auto"/>
              <w:jc w:val="center"/>
              <w:rPr>
                <w:rFonts w:ascii="宋体" w:hAnsi="宋体"/>
                <w:sz w:val="24"/>
              </w:rPr>
            </w:pPr>
          </w:p>
        </w:tc>
        <w:tc>
          <w:tcPr>
            <w:tcW w:w="2205" w:type="dxa"/>
            <w:vAlign w:val="center"/>
          </w:tcPr>
          <w:p w:rsidR="0047240E" w:rsidRPr="00177AFD" w:rsidRDefault="0047240E" w:rsidP="002A75E4">
            <w:pPr>
              <w:spacing w:line="360" w:lineRule="auto"/>
              <w:jc w:val="center"/>
              <w:rPr>
                <w:rFonts w:ascii="宋体" w:hAnsi="宋体"/>
                <w:sz w:val="24"/>
              </w:rPr>
            </w:pPr>
            <w:r w:rsidRPr="00177AFD">
              <w:rPr>
                <w:rFonts w:ascii="宋体" w:hAnsi="宋体" w:hint="eastAsia"/>
                <w:sz w:val="24"/>
              </w:rPr>
              <w:t>油菜机播及两段机收（亩）</w:t>
            </w:r>
          </w:p>
        </w:tc>
        <w:tc>
          <w:tcPr>
            <w:tcW w:w="1425" w:type="dxa"/>
            <w:vAlign w:val="center"/>
          </w:tcPr>
          <w:p w:rsidR="0047240E" w:rsidRPr="00177AFD" w:rsidRDefault="0047240E" w:rsidP="002A75E4">
            <w:pPr>
              <w:spacing w:line="360" w:lineRule="auto"/>
              <w:jc w:val="center"/>
              <w:rPr>
                <w:rFonts w:ascii="宋体" w:hAnsi="宋体"/>
                <w:sz w:val="24"/>
              </w:rPr>
            </w:pPr>
            <w:r w:rsidRPr="00177AFD">
              <w:rPr>
                <w:rFonts w:ascii="宋体" w:hAnsi="宋体" w:hint="eastAsia"/>
                <w:sz w:val="24"/>
              </w:rPr>
              <w:t>补助定额</w:t>
            </w:r>
          </w:p>
          <w:p w:rsidR="0047240E" w:rsidRPr="00177AFD" w:rsidRDefault="0047240E" w:rsidP="002A75E4">
            <w:pPr>
              <w:spacing w:line="360" w:lineRule="auto"/>
              <w:jc w:val="center"/>
              <w:rPr>
                <w:rFonts w:ascii="宋体" w:hAnsi="宋体"/>
                <w:sz w:val="24"/>
              </w:rPr>
            </w:pPr>
            <w:r w:rsidRPr="00177AFD">
              <w:rPr>
                <w:rFonts w:ascii="宋体" w:hAnsi="宋体" w:hint="eastAsia"/>
                <w:sz w:val="24"/>
              </w:rPr>
              <w:t>（元/亩）</w:t>
            </w:r>
          </w:p>
        </w:tc>
        <w:tc>
          <w:tcPr>
            <w:tcW w:w="1764" w:type="dxa"/>
            <w:vMerge/>
            <w:vAlign w:val="center"/>
          </w:tcPr>
          <w:p w:rsidR="0047240E" w:rsidRPr="00177AFD" w:rsidRDefault="0047240E" w:rsidP="002A75E4">
            <w:pPr>
              <w:spacing w:line="360" w:lineRule="auto"/>
              <w:jc w:val="center"/>
              <w:rPr>
                <w:rFonts w:ascii="宋体" w:hAnsi="宋体"/>
                <w:sz w:val="24"/>
              </w:rPr>
            </w:pPr>
          </w:p>
        </w:tc>
      </w:tr>
      <w:tr w:rsidR="0047240E" w:rsidRPr="00177AFD" w:rsidTr="002A75E4">
        <w:trPr>
          <w:trHeight w:val="468"/>
          <w:jc w:val="center"/>
        </w:trPr>
        <w:tc>
          <w:tcPr>
            <w:tcW w:w="958" w:type="dxa"/>
            <w:vAlign w:val="center"/>
          </w:tcPr>
          <w:p w:rsidR="0047240E" w:rsidRPr="00177AFD" w:rsidRDefault="0047240E" w:rsidP="002A75E4">
            <w:pPr>
              <w:spacing w:line="360" w:lineRule="auto"/>
              <w:jc w:val="center"/>
              <w:rPr>
                <w:rFonts w:ascii="宋体" w:hAnsi="宋体"/>
                <w:sz w:val="24"/>
              </w:rPr>
            </w:pPr>
            <w:r w:rsidRPr="00177AFD">
              <w:rPr>
                <w:rFonts w:ascii="宋体" w:hAnsi="宋体" w:hint="eastAsia"/>
                <w:sz w:val="24"/>
              </w:rPr>
              <w:lastRenderedPageBreak/>
              <w:t>第一包</w:t>
            </w:r>
          </w:p>
        </w:tc>
        <w:tc>
          <w:tcPr>
            <w:tcW w:w="3031" w:type="dxa"/>
            <w:vAlign w:val="center"/>
          </w:tcPr>
          <w:p w:rsidR="0047240E" w:rsidRPr="00177AFD" w:rsidRDefault="0047240E" w:rsidP="002A75E4">
            <w:pPr>
              <w:spacing w:line="360" w:lineRule="auto"/>
              <w:jc w:val="left"/>
              <w:rPr>
                <w:rFonts w:ascii="宋体" w:hAnsi="宋体"/>
                <w:sz w:val="24"/>
              </w:rPr>
            </w:pPr>
            <w:r w:rsidRPr="00177AFD">
              <w:rPr>
                <w:rFonts w:ascii="宋体" w:hAnsi="宋体" w:hint="eastAsia"/>
                <w:sz w:val="24"/>
              </w:rPr>
              <w:t>会龙镇、</w:t>
            </w:r>
            <w:proofErr w:type="gramStart"/>
            <w:r w:rsidRPr="00177AFD">
              <w:rPr>
                <w:rFonts w:ascii="宋体" w:hAnsi="宋体" w:hint="eastAsia"/>
                <w:sz w:val="24"/>
              </w:rPr>
              <w:t>冯</w:t>
            </w:r>
            <w:proofErr w:type="gramEnd"/>
            <w:r w:rsidRPr="00177AFD">
              <w:rPr>
                <w:rFonts w:ascii="宋体" w:hAnsi="宋体" w:hint="eastAsia"/>
                <w:sz w:val="24"/>
              </w:rPr>
              <w:t>店镇、积金镇、太安镇油菜机播及两段机收</w:t>
            </w:r>
            <w:r w:rsidRPr="00177AFD">
              <w:rPr>
                <w:rFonts w:ascii="宋体" w:hAnsi="宋体" w:cs="宋体" w:hint="eastAsia"/>
                <w:sz w:val="24"/>
              </w:rPr>
              <w:t>社会化服务采购</w:t>
            </w:r>
          </w:p>
        </w:tc>
        <w:tc>
          <w:tcPr>
            <w:tcW w:w="2205" w:type="dxa"/>
            <w:vAlign w:val="center"/>
          </w:tcPr>
          <w:p w:rsidR="0047240E" w:rsidRPr="00177AFD" w:rsidRDefault="0047240E" w:rsidP="002A75E4">
            <w:pPr>
              <w:widowControl/>
              <w:spacing w:line="360" w:lineRule="auto"/>
              <w:jc w:val="center"/>
              <w:textAlignment w:val="center"/>
              <w:rPr>
                <w:rFonts w:ascii="宋体" w:hAnsi="宋体"/>
                <w:sz w:val="24"/>
              </w:rPr>
            </w:pPr>
            <w:r w:rsidRPr="00177AFD">
              <w:rPr>
                <w:rFonts w:ascii="宋体" w:hAnsi="宋体" w:hint="eastAsia"/>
                <w:sz w:val="24"/>
              </w:rPr>
              <w:t>4050亩</w:t>
            </w:r>
          </w:p>
        </w:tc>
        <w:tc>
          <w:tcPr>
            <w:tcW w:w="1425" w:type="dxa"/>
            <w:vAlign w:val="center"/>
          </w:tcPr>
          <w:p w:rsidR="0047240E" w:rsidRPr="00177AFD" w:rsidRDefault="0047240E" w:rsidP="002A75E4">
            <w:pPr>
              <w:widowControl/>
              <w:spacing w:line="360" w:lineRule="auto"/>
              <w:jc w:val="center"/>
              <w:textAlignment w:val="center"/>
              <w:rPr>
                <w:rFonts w:ascii="宋体" w:hAnsi="宋体"/>
                <w:sz w:val="24"/>
              </w:rPr>
            </w:pPr>
            <w:r w:rsidRPr="00177AFD">
              <w:rPr>
                <w:rFonts w:ascii="宋体" w:hAnsi="宋体" w:hint="eastAsia"/>
                <w:sz w:val="24"/>
              </w:rPr>
              <w:t>200.00</w:t>
            </w:r>
          </w:p>
        </w:tc>
        <w:tc>
          <w:tcPr>
            <w:tcW w:w="1764" w:type="dxa"/>
            <w:vAlign w:val="center"/>
          </w:tcPr>
          <w:p w:rsidR="0047240E" w:rsidRPr="00177AFD" w:rsidRDefault="0047240E" w:rsidP="002A75E4">
            <w:pPr>
              <w:widowControl/>
              <w:spacing w:line="360" w:lineRule="auto"/>
              <w:jc w:val="center"/>
              <w:textAlignment w:val="center"/>
              <w:rPr>
                <w:rFonts w:ascii="宋体" w:hAnsi="宋体"/>
                <w:sz w:val="24"/>
              </w:rPr>
            </w:pPr>
            <w:r w:rsidRPr="00177AFD">
              <w:rPr>
                <w:rFonts w:ascii="宋体" w:hAnsi="宋体" w:hint="eastAsia"/>
                <w:sz w:val="24"/>
              </w:rPr>
              <w:t>81.00</w:t>
            </w:r>
          </w:p>
        </w:tc>
      </w:tr>
      <w:tr w:rsidR="0047240E" w:rsidRPr="00177AFD" w:rsidTr="002A75E4">
        <w:trPr>
          <w:trHeight w:val="468"/>
          <w:jc w:val="center"/>
        </w:trPr>
        <w:tc>
          <w:tcPr>
            <w:tcW w:w="958" w:type="dxa"/>
            <w:vAlign w:val="center"/>
          </w:tcPr>
          <w:p w:rsidR="0047240E" w:rsidRPr="00177AFD" w:rsidRDefault="0047240E" w:rsidP="002A75E4">
            <w:pPr>
              <w:spacing w:line="360" w:lineRule="auto"/>
              <w:jc w:val="center"/>
              <w:rPr>
                <w:rFonts w:ascii="宋体" w:hAnsi="宋体"/>
                <w:sz w:val="24"/>
              </w:rPr>
            </w:pPr>
            <w:r w:rsidRPr="00177AFD">
              <w:rPr>
                <w:rFonts w:ascii="宋体" w:hAnsi="宋体" w:hint="eastAsia"/>
                <w:sz w:val="24"/>
              </w:rPr>
              <w:t>第二包</w:t>
            </w:r>
          </w:p>
        </w:tc>
        <w:tc>
          <w:tcPr>
            <w:tcW w:w="3031" w:type="dxa"/>
            <w:vAlign w:val="center"/>
          </w:tcPr>
          <w:p w:rsidR="0047240E" w:rsidRPr="00177AFD" w:rsidRDefault="0047240E" w:rsidP="002A75E4">
            <w:pPr>
              <w:spacing w:line="360" w:lineRule="auto"/>
              <w:jc w:val="left"/>
              <w:rPr>
                <w:rFonts w:ascii="宋体" w:hAnsi="宋体"/>
                <w:sz w:val="24"/>
              </w:rPr>
            </w:pPr>
            <w:r w:rsidRPr="00177AFD">
              <w:rPr>
                <w:rFonts w:ascii="宋体" w:hAnsi="宋体" w:hint="eastAsia"/>
                <w:sz w:val="24"/>
              </w:rPr>
              <w:t>回龙镇、悦来镇、广福镇油菜机播及两段机收</w:t>
            </w:r>
            <w:r w:rsidRPr="00177AFD">
              <w:rPr>
                <w:rFonts w:ascii="宋体" w:hAnsi="宋体" w:cs="宋体" w:hint="eastAsia"/>
                <w:sz w:val="24"/>
              </w:rPr>
              <w:t>社会化服务采购</w:t>
            </w:r>
          </w:p>
        </w:tc>
        <w:tc>
          <w:tcPr>
            <w:tcW w:w="2205" w:type="dxa"/>
            <w:vAlign w:val="center"/>
          </w:tcPr>
          <w:p w:rsidR="0047240E" w:rsidRPr="00177AFD" w:rsidRDefault="0047240E" w:rsidP="002A75E4">
            <w:pPr>
              <w:widowControl/>
              <w:spacing w:line="360" w:lineRule="auto"/>
              <w:jc w:val="center"/>
              <w:textAlignment w:val="center"/>
              <w:rPr>
                <w:rFonts w:ascii="宋体" w:hAnsi="宋体"/>
                <w:sz w:val="24"/>
              </w:rPr>
            </w:pPr>
            <w:r w:rsidRPr="00177AFD">
              <w:rPr>
                <w:rFonts w:ascii="宋体" w:hAnsi="宋体" w:hint="eastAsia"/>
                <w:sz w:val="24"/>
              </w:rPr>
              <w:t>3310亩</w:t>
            </w:r>
          </w:p>
        </w:tc>
        <w:tc>
          <w:tcPr>
            <w:tcW w:w="1425" w:type="dxa"/>
            <w:vAlign w:val="center"/>
          </w:tcPr>
          <w:p w:rsidR="0047240E" w:rsidRPr="00177AFD" w:rsidRDefault="0047240E" w:rsidP="002A75E4">
            <w:pPr>
              <w:widowControl/>
              <w:spacing w:line="360" w:lineRule="auto"/>
              <w:jc w:val="center"/>
              <w:textAlignment w:val="center"/>
              <w:rPr>
                <w:rFonts w:ascii="宋体" w:hAnsi="宋体"/>
                <w:sz w:val="24"/>
              </w:rPr>
            </w:pPr>
            <w:r w:rsidRPr="00177AFD">
              <w:rPr>
                <w:rFonts w:ascii="宋体" w:hAnsi="宋体" w:hint="eastAsia"/>
                <w:sz w:val="24"/>
              </w:rPr>
              <w:t>200.00</w:t>
            </w:r>
          </w:p>
        </w:tc>
        <w:tc>
          <w:tcPr>
            <w:tcW w:w="1764" w:type="dxa"/>
            <w:vAlign w:val="center"/>
          </w:tcPr>
          <w:p w:rsidR="0047240E" w:rsidRPr="00177AFD" w:rsidRDefault="0047240E" w:rsidP="002A75E4">
            <w:pPr>
              <w:widowControl/>
              <w:spacing w:line="360" w:lineRule="auto"/>
              <w:jc w:val="center"/>
              <w:textAlignment w:val="center"/>
              <w:rPr>
                <w:rFonts w:ascii="宋体" w:hAnsi="宋体"/>
                <w:sz w:val="24"/>
              </w:rPr>
            </w:pPr>
            <w:r w:rsidRPr="00177AFD">
              <w:rPr>
                <w:rFonts w:ascii="宋体" w:hAnsi="宋体" w:hint="eastAsia"/>
                <w:sz w:val="24"/>
              </w:rPr>
              <w:t>66.20</w:t>
            </w:r>
          </w:p>
        </w:tc>
      </w:tr>
      <w:tr w:rsidR="0047240E" w:rsidRPr="00177AFD" w:rsidTr="002A75E4">
        <w:trPr>
          <w:trHeight w:val="468"/>
          <w:jc w:val="center"/>
        </w:trPr>
        <w:tc>
          <w:tcPr>
            <w:tcW w:w="958" w:type="dxa"/>
            <w:vAlign w:val="center"/>
          </w:tcPr>
          <w:p w:rsidR="0047240E" w:rsidRPr="00177AFD" w:rsidRDefault="0047240E" w:rsidP="002A75E4">
            <w:pPr>
              <w:spacing w:line="360" w:lineRule="auto"/>
              <w:jc w:val="center"/>
              <w:rPr>
                <w:rFonts w:ascii="宋体" w:hAnsi="宋体"/>
                <w:sz w:val="24"/>
              </w:rPr>
            </w:pPr>
            <w:r w:rsidRPr="00177AFD">
              <w:rPr>
                <w:rFonts w:ascii="宋体" w:hAnsi="宋体" w:hint="eastAsia"/>
                <w:sz w:val="24"/>
              </w:rPr>
              <w:t>第三包</w:t>
            </w:r>
          </w:p>
        </w:tc>
        <w:tc>
          <w:tcPr>
            <w:tcW w:w="3031" w:type="dxa"/>
            <w:vAlign w:val="center"/>
          </w:tcPr>
          <w:p w:rsidR="0047240E" w:rsidRPr="00177AFD" w:rsidRDefault="0047240E" w:rsidP="002A75E4">
            <w:pPr>
              <w:spacing w:line="360" w:lineRule="auto"/>
              <w:jc w:val="left"/>
              <w:rPr>
                <w:rFonts w:ascii="宋体" w:hAnsi="宋体"/>
                <w:sz w:val="24"/>
              </w:rPr>
            </w:pPr>
            <w:r w:rsidRPr="00177AFD">
              <w:rPr>
                <w:rFonts w:ascii="宋体" w:hAnsi="宋体" w:hint="eastAsia"/>
                <w:sz w:val="24"/>
              </w:rPr>
              <w:t>联合镇、万福镇油菜机播及两段机收</w:t>
            </w:r>
            <w:r w:rsidRPr="00177AFD">
              <w:rPr>
                <w:rFonts w:ascii="宋体" w:hAnsi="宋体" w:cs="宋体" w:hint="eastAsia"/>
                <w:sz w:val="24"/>
              </w:rPr>
              <w:t>社会化服务采购</w:t>
            </w:r>
          </w:p>
        </w:tc>
        <w:tc>
          <w:tcPr>
            <w:tcW w:w="2205" w:type="dxa"/>
            <w:vAlign w:val="center"/>
          </w:tcPr>
          <w:p w:rsidR="0047240E" w:rsidRPr="00177AFD" w:rsidRDefault="0047240E" w:rsidP="002A75E4">
            <w:pPr>
              <w:widowControl/>
              <w:spacing w:line="360" w:lineRule="auto"/>
              <w:jc w:val="center"/>
              <w:textAlignment w:val="center"/>
              <w:rPr>
                <w:rFonts w:ascii="宋体" w:hAnsi="宋体"/>
                <w:sz w:val="24"/>
              </w:rPr>
            </w:pPr>
            <w:r w:rsidRPr="00177AFD">
              <w:rPr>
                <w:rFonts w:ascii="宋体" w:hAnsi="宋体" w:hint="eastAsia"/>
                <w:sz w:val="24"/>
              </w:rPr>
              <w:t>2640亩</w:t>
            </w:r>
          </w:p>
        </w:tc>
        <w:tc>
          <w:tcPr>
            <w:tcW w:w="1425" w:type="dxa"/>
            <w:vAlign w:val="center"/>
          </w:tcPr>
          <w:p w:rsidR="0047240E" w:rsidRPr="00177AFD" w:rsidRDefault="0047240E" w:rsidP="002A75E4">
            <w:pPr>
              <w:widowControl/>
              <w:spacing w:line="360" w:lineRule="auto"/>
              <w:jc w:val="center"/>
              <w:textAlignment w:val="center"/>
              <w:rPr>
                <w:rFonts w:ascii="宋体" w:hAnsi="宋体"/>
                <w:sz w:val="24"/>
              </w:rPr>
            </w:pPr>
            <w:r w:rsidRPr="00177AFD">
              <w:rPr>
                <w:rFonts w:ascii="宋体" w:hAnsi="宋体" w:hint="eastAsia"/>
                <w:sz w:val="24"/>
              </w:rPr>
              <w:t>200.00</w:t>
            </w:r>
          </w:p>
        </w:tc>
        <w:tc>
          <w:tcPr>
            <w:tcW w:w="1764" w:type="dxa"/>
            <w:vAlign w:val="center"/>
          </w:tcPr>
          <w:p w:rsidR="0047240E" w:rsidRPr="00177AFD" w:rsidRDefault="0047240E" w:rsidP="002A75E4">
            <w:pPr>
              <w:widowControl/>
              <w:spacing w:line="360" w:lineRule="auto"/>
              <w:jc w:val="center"/>
              <w:textAlignment w:val="center"/>
              <w:rPr>
                <w:rFonts w:ascii="宋体" w:hAnsi="宋体"/>
                <w:sz w:val="24"/>
              </w:rPr>
            </w:pPr>
            <w:r w:rsidRPr="00177AFD">
              <w:rPr>
                <w:rFonts w:ascii="宋体" w:hAnsi="宋体" w:hint="eastAsia"/>
                <w:sz w:val="24"/>
              </w:rPr>
              <w:t>52.80</w:t>
            </w:r>
          </w:p>
        </w:tc>
      </w:tr>
      <w:tr w:rsidR="0047240E" w:rsidRPr="00177AFD" w:rsidTr="002A75E4">
        <w:trPr>
          <w:trHeight w:val="468"/>
          <w:jc w:val="center"/>
        </w:trPr>
        <w:tc>
          <w:tcPr>
            <w:tcW w:w="958" w:type="dxa"/>
            <w:vAlign w:val="center"/>
          </w:tcPr>
          <w:p w:rsidR="0047240E" w:rsidRPr="00177AFD" w:rsidRDefault="0047240E" w:rsidP="002A75E4">
            <w:pPr>
              <w:spacing w:line="360" w:lineRule="auto"/>
              <w:jc w:val="center"/>
              <w:rPr>
                <w:rFonts w:ascii="宋体" w:hAnsi="宋体"/>
                <w:sz w:val="24"/>
              </w:rPr>
            </w:pPr>
          </w:p>
        </w:tc>
        <w:tc>
          <w:tcPr>
            <w:tcW w:w="3031" w:type="dxa"/>
            <w:vAlign w:val="center"/>
          </w:tcPr>
          <w:p w:rsidR="0047240E" w:rsidRPr="00177AFD" w:rsidRDefault="0047240E" w:rsidP="002A75E4">
            <w:pPr>
              <w:spacing w:line="360" w:lineRule="auto"/>
              <w:jc w:val="center"/>
              <w:rPr>
                <w:rFonts w:ascii="宋体" w:hAnsi="宋体"/>
                <w:sz w:val="24"/>
              </w:rPr>
            </w:pPr>
            <w:r w:rsidRPr="00177AFD">
              <w:rPr>
                <w:rFonts w:ascii="宋体" w:hAnsi="宋体" w:hint="eastAsia"/>
                <w:sz w:val="24"/>
              </w:rPr>
              <w:t>合计</w:t>
            </w:r>
          </w:p>
        </w:tc>
        <w:tc>
          <w:tcPr>
            <w:tcW w:w="2205" w:type="dxa"/>
            <w:vAlign w:val="center"/>
          </w:tcPr>
          <w:p w:rsidR="0047240E" w:rsidRPr="00177AFD" w:rsidRDefault="0047240E" w:rsidP="002A75E4">
            <w:pPr>
              <w:widowControl/>
              <w:spacing w:line="360" w:lineRule="auto"/>
              <w:jc w:val="center"/>
              <w:textAlignment w:val="center"/>
              <w:rPr>
                <w:rFonts w:ascii="宋体" w:hAnsi="宋体"/>
                <w:sz w:val="24"/>
              </w:rPr>
            </w:pPr>
            <w:r w:rsidRPr="00177AFD">
              <w:rPr>
                <w:rFonts w:ascii="宋体" w:hAnsi="宋体" w:hint="eastAsia"/>
                <w:sz w:val="24"/>
              </w:rPr>
              <w:t>10000亩</w:t>
            </w:r>
          </w:p>
        </w:tc>
        <w:tc>
          <w:tcPr>
            <w:tcW w:w="1425" w:type="dxa"/>
            <w:vAlign w:val="center"/>
          </w:tcPr>
          <w:p w:rsidR="0047240E" w:rsidRPr="00177AFD" w:rsidRDefault="0047240E" w:rsidP="002A75E4">
            <w:pPr>
              <w:widowControl/>
              <w:spacing w:line="360" w:lineRule="auto"/>
              <w:jc w:val="center"/>
              <w:textAlignment w:val="center"/>
              <w:rPr>
                <w:rFonts w:ascii="宋体" w:hAnsi="宋体"/>
                <w:sz w:val="24"/>
              </w:rPr>
            </w:pPr>
          </w:p>
        </w:tc>
        <w:tc>
          <w:tcPr>
            <w:tcW w:w="1764" w:type="dxa"/>
            <w:vAlign w:val="center"/>
          </w:tcPr>
          <w:p w:rsidR="0047240E" w:rsidRPr="00177AFD" w:rsidRDefault="0047240E" w:rsidP="002A75E4">
            <w:pPr>
              <w:widowControl/>
              <w:spacing w:line="360" w:lineRule="auto"/>
              <w:jc w:val="center"/>
              <w:textAlignment w:val="center"/>
              <w:rPr>
                <w:rFonts w:ascii="宋体" w:hAnsi="宋体"/>
                <w:sz w:val="24"/>
              </w:rPr>
            </w:pPr>
            <w:r w:rsidRPr="00177AFD">
              <w:rPr>
                <w:rFonts w:ascii="宋体" w:hAnsi="宋体" w:hint="eastAsia"/>
                <w:sz w:val="24"/>
              </w:rPr>
              <w:t>200.00</w:t>
            </w:r>
          </w:p>
        </w:tc>
      </w:tr>
    </w:tbl>
    <w:p w:rsidR="0047240E" w:rsidRPr="00177AFD" w:rsidRDefault="0047240E" w:rsidP="0047240E">
      <w:pPr>
        <w:spacing w:line="360" w:lineRule="auto"/>
        <w:jc w:val="left"/>
        <w:rPr>
          <w:rFonts w:ascii="宋体" w:hAnsi="宋体"/>
          <w:b/>
          <w:bCs/>
          <w:sz w:val="28"/>
          <w:szCs w:val="28"/>
        </w:rPr>
      </w:pPr>
      <w:r w:rsidRPr="00177AFD">
        <w:rPr>
          <w:rFonts w:ascii="宋体" w:hAnsi="宋体" w:hint="eastAsia"/>
          <w:b/>
          <w:bCs/>
          <w:sz w:val="28"/>
          <w:szCs w:val="28"/>
        </w:rPr>
        <w:t>三、服务要求</w:t>
      </w:r>
    </w:p>
    <w:p w:rsidR="0047240E" w:rsidRPr="00177AFD" w:rsidRDefault="0047240E" w:rsidP="0047240E">
      <w:pPr>
        <w:spacing w:line="360" w:lineRule="auto"/>
        <w:ind w:firstLineChars="200" w:firstLine="480"/>
        <w:rPr>
          <w:rFonts w:ascii="宋体" w:hAnsi="宋体"/>
          <w:sz w:val="24"/>
        </w:rPr>
      </w:pPr>
      <w:r w:rsidRPr="00177AFD">
        <w:rPr>
          <w:rFonts w:ascii="宋体" w:hAnsi="宋体" w:hint="eastAsia"/>
          <w:sz w:val="24"/>
        </w:rPr>
        <w:t>１、具有相关机械化作业服务经验，有油菜机械播种操作技术和油菜两段机收操作技术，并有针对解决投标区域的特殊情况的作业技术预案。</w:t>
      </w:r>
    </w:p>
    <w:p w:rsidR="0047240E" w:rsidRPr="00177AFD" w:rsidRDefault="0047240E" w:rsidP="0047240E">
      <w:pPr>
        <w:spacing w:line="360" w:lineRule="auto"/>
        <w:ind w:firstLineChars="200" w:firstLine="480"/>
        <w:rPr>
          <w:rFonts w:ascii="宋体" w:hAnsi="宋体"/>
          <w:sz w:val="24"/>
        </w:rPr>
      </w:pPr>
      <w:r w:rsidRPr="00177AFD">
        <w:rPr>
          <w:rFonts w:ascii="宋体" w:hAnsi="宋体" w:hint="eastAsia"/>
          <w:sz w:val="24"/>
        </w:rPr>
        <w:t>２、拥有能够完成拟承担作业任务的各类作业机具、配套设施及人员，作业机具数量的作业能力与拟承担之作业面积和作业期限相配套要求，播种期限不得超过15日（2023年10月15日前完成播种），两段机收（2024年5月15日前完成）。</w:t>
      </w:r>
    </w:p>
    <w:p w:rsidR="0047240E" w:rsidRPr="00177AFD" w:rsidRDefault="0047240E" w:rsidP="0047240E">
      <w:pPr>
        <w:spacing w:line="360" w:lineRule="auto"/>
        <w:ind w:firstLineChars="100" w:firstLine="240"/>
        <w:jc w:val="left"/>
        <w:rPr>
          <w:rFonts w:ascii="宋体" w:hAnsi="宋体"/>
          <w:sz w:val="24"/>
        </w:rPr>
      </w:pPr>
      <w:r w:rsidRPr="00177AFD">
        <w:rPr>
          <w:rFonts w:ascii="宋体" w:hAnsi="宋体" w:hint="eastAsia"/>
          <w:sz w:val="24"/>
        </w:rPr>
        <w:t>３、机具持有证明为：油菜播种机需有购置机具的发票，与其配套的动力机具需农机监理部门核发的登记牌照，或与他人合作实施机械播种作业服务的有效合约；熟悉播种作业和两段机收作业技术的操作机手。</w:t>
      </w:r>
    </w:p>
    <w:p w:rsidR="0047240E" w:rsidRPr="00177AFD" w:rsidRDefault="0047240E" w:rsidP="0047240E">
      <w:pPr>
        <w:spacing w:line="360" w:lineRule="auto"/>
        <w:ind w:firstLineChars="100" w:firstLine="240"/>
        <w:jc w:val="left"/>
        <w:rPr>
          <w:rFonts w:ascii="宋体" w:hAnsi="宋体"/>
          <w:sz w:val="24"/>
        </w:rPr>
      </w:pPr>
      <w:r w:rsidRPr="00177AFD">
        <w:rPr>
          <w:rFonts w:ascii="宋体" w:hAnsi="宋体" w:hint="eastAsia"/>
          <w:sz w:val="24"/>
        </w:rPr>
        <w:t>４、有规范的生产作业管理制度，具有适合本项目实施的机耕、机播及两段机收等操作技术方案。</w:t>
      </w:r>
    </w:p>
    <w:p w:rsidR="0047240E" w:rsidRPr="00177AFD" w:rsidRDefault="0047240E" w:rsidP="0047240E">
      <w:pPr>
        <w:spacing w:line="360" w:lineRule="auto"/>
        <w:ind w:firstLineChars="100" w:firstLine="240"/>
        <w:jc w:val="left"/>
        <w:rPr>
          <w:rFonts w:ascii="宋体" w:hAnsi="宋体"/>
          <w:sz w:val="24"/>
        </w:rPr>
      </w:pPr>
      <w:r w:rsidRPr="00177AFD">
        <w:rPr>
          <w:rFonts w:ascii="宋体" w:hAnsi="宋体" w:hint="eastAsia"/>
          <w:sz w:val="24"/>
        </w:rPr>
        <w:t>５、同一包组可以在项目实施乡镇之间调整播种面积，但不得超过该包组总面积。</w:t>
      </w:r>
    </w:p>
    <w:p w:rsidR="0047240E" w:rsidRPr="00177AFD" w:rsidRDefault="0047240E" w:rsidP="0047240E">
      <w:pPr>
        <w:spacing w:line="360" w:lineRule="auto"/>
        <w:ind w:firstLineChars="100" w:firstLine="281"/>
        <w:jc w:val="left"/>
        <w:rPr>
          <w:rFonts w:ascii="宋体" w:hAnsi="宋体"/>
          <w:b/>
          <w:bCs/>
          <w:sz w:val="28"/>
          <w:szCs w:val="28"/>
        </w:rPr>
      </w:pPr>
      <w:r w:rsidRPr="00177AFD">
        <w:rPr>
          <w:rFonts w:ascii="宋体" w:hAnsi="宋体" w:hint="eastAsia"/>
          <w:b/>
          <w:bCs/>
          <w:sz w:val="28"/>
          <w:szCs w:val="28"/>
        </w:rPr>
        <w:t>四、商务要求</w:t>
      </w:r>
    </w:p>
    <w:p w:rsidR="0047240E" w:rsidRPr="00177AFD" w:rsidRDefault="0047240E" w:rsidP="0047240E">
      <w:pPr>
        <w:spacing w:line="360" w:lineRule="auto"/>
        <w:ind w:firstLineChars="100" w:firstLine="240"/>
        <w:jc w:val="left"/>
        <w:rPr>
          <w:rFonts w:ascii="宋体" w:hAnsi="宋体"/>
          <w:sz w:val="24"/>
        </w:rPr>
      </w:pPr>
      <w:r w:rsidRPr="00177AFD">
        <w:rPr>
          <w:rFonts w:ascii="宋体" w:hAnsi="宋体" w:hint="eastAsia"/>
          <w:sz w:val="24"/>
        </w:rPr>
        <w:t>1、项目验收：</w:t>
      </w:r>
    </w:p>
    <w:p w:rsidR="0047240E" w:rsidRPr="00177AFD" w:rsidRDefault="0047240E" w:rsidP="0047240E">
      <w:pPr>
        <w:spacing w:line="360" w:lineRule="auto"/>
        <w:ind w:firstLineChars="200" w:firstLine="480"/>
        <w:jc w:val="left"/>
        <w:rPr>
          <w:rFonts w:ascii="宋体" w:hAnsi="宋体"/>
          <w:sz w:val="24"/>
        </w:rPr>
      </w:pPr>
      <w:r w:rsidRPr="00177AFD">
        <w:rPr>
          <w:rFonts w:ascii="宋体" w:hAnsi="宋体" w:hint="eastAsia"/>
          <w:sz w:val="24"/>
        </w:rPr>
        <w:t>（1）成交人与采购人应按照《中华人民共和国政府采购法》、《财政部关于进一步加强政府采购需求和履约验收管理的指导意见》财库〔2016〕205号的要求及相关法律法规执行验收 。</w:t>
      </w:r>
    </w:p>
    <w:p w:rsidR="0047240E" w:rsidRPr="00177AFD" w:rsidRDefault="0047240E" w:rsidP="0047240E">
      <w:pPr>
        <w:spacing w:line="360" w:lineRule="auto"/>
        <w:ind w:firstLineChars="200" w:firstLine="480"/>
        <w:jc w:val="left"/>
        <w:rPr>
          <w:rFonts w:ascii="宋体" w:hAnsi="宋体"/>
          <w:sz w:val="24"/>
        </w:rPr>
      </w:pPr>
      <w:r w:rsidRPr="00177AFD">
        <w:rPr>
          <w:rFonts w:ascii="宋体" w:hAnsi="宋体" w:hint="eastAsia"/>
          <w:sz w:val="24"/>
        </w:rPr>
        <w:t>（2）严格执行合同条款，履行合同规定的义务，保证合同的顺利完成。</w:t>
      </w:r>
    </w:p>
    <w:p w:rsidR="0047240E" w:rsidRPr="00177AFD" w:rsidRDefault="0047240E" w:rsidP="0047240E">
      <w:pPr>
        <w:numPr>
          <w:ilvl w:val="0"/>
          <w:numId w:val="2"/>
        </w:numPr>
        <w:spacing w:line="360" w:lineRule="auto"/>
        <w:rPr>
          <w:sz w:val="24"/>
        </w:rPr>
      </w:pPr>
      <w:r w:rsidRPr="00177AFD">
        <w:rPr>
          <w:rFonts w:hint="eastAsia"/>
          <w:sz w:val="24"/>
        </w:rPr>
        <w:lastRenderedPageBreak/>
        <w:t>履约验收的主体：采购人</w:t>
      </w:r>
    </w:p>
    <w:p w:rsidR="0047240E" w:rsidRPr="00177AFD" w:rsidRDefault="0047240E" w:rsidP="0047240E">
      <w:pPr>
        <w:numPr>
          <w:ilvl w:val="0"/>
          <w:numId w:val="2"/>
        </w:numPr>
        <w:spacing w:line="360" w:lineRule="auto"/>
        <w:rPr>
          <w:sz w:val="24"/>
        </w:rPr>
      </w:pPr>
      <w:r w:rsidRPr="00177AFD">
        <w:rPr>
          <w:rFonts w:hint="eastAsia"/>
          <w:sz w:val="24"/>
        </w:rPr>
        <w:t>时间：供应商提出验收申请之日起</w:t>
      </w:r>
      <w:r w:rsidRPr="00177AFD">
        <w:rPr>
          <w:rFonts w:hint="eastAsia"/>
          <w:sz w:val="24"/>
        </w:rPr>
        <w:t>30</w:t>
      </w:r>
      <w:r w:rsidRPr="00177AFD">
        <w:rPr>
          <w:rFonts w:hint="eastAsia"/>
          <w:sz w:val="24"/>
        </w:rPr>
        <w:t>日内组织验收</w:t>
      </w:r>
    </w:p>
    <w:p w:rsidR="0047240E" w:rsidRPr="00177AFD" w:rsidRDefault="0047240E" w:rsidP="0047240E">
      <w:pPr>
        <w:numPr>
          <w:ilvl w:val="0"/>
          <w:numId w:val="2"/>
        </w:numPr>
        <w:spacing w:line="360" w:lineRule="auto"/>
        <w:rPr>
          <w:sz w:val="24"/>
        </w:rPr>
      </w:pPr>
      <w:r w:rsidRPr="00177AFD">
        <w:rPr>
          <w:rFonts w:hint="eastAsia"/>
          <w:sz w:val="24"/>
        </w:rPr>
        <w:t>方式：采购人自行验收</w:t>
      </w:r>
    </w:p>
    <w:p w:rsidR="0047240E" w:rsidRPr="00177AFD" w:rsidRDefault="0047240E" w:rsidP="0047240E">
      <w:pPr>
        <w:numPr>
          <w:ilvl w:val="0"/>
          <w:numId w:val="2"/>
        </w:numPr>
        <w:spacing w:line="360" w:lineRule="auto"/>
        <w:rPr>
          <w:sz w:val="24"/>
        </w:rPr>
      </w:pPr>
      <w:r w:rsidRPr="00177AFD">
        <w:rPr>
          <w:rFonts w:hint="eastAsia"/>
          <w:sz w:val="24"/>
        </w:rPr>
        <w:t>程序：一次性验收</w:t>
      </w:r>
    </w:p>
    <w:p w:rsidR="0047240E" w:rsidRPr="00177AFD" w:rsidRDefault="0047240E" w:rsidP="0047240E">
      <w:pPr>
        <w:numPr>
          <w:ilvl w:val="0"/>
          <w:numId w:val="2"/>
        </w:numPr>
        <w:spacing w:line="360" w:lineRule="auto"/>
        <w:rPr>
          <w:sz w:val="24"/>
        </w:rPr>
      </w:pPr>
      <w:r w:rsidRPr="00177AFD">
        <w:rPr>
          <w:rFonts w:hint="eastAsia"/>
          <w:sz w:val="24"/>
        </w:rPr>
        <w:t>内容：技术履约验收内容：根据采购文件、供应商响应文件、合同约定的要求进行验收。商务履约验收内容：对服务期限、地点等采购文件要求内容逐一进行验收。</w:t>
      </w:r>
    </w:p>
    <w:p w:rsidR="0047240E" w:rsidRPr="00177AFD" w:rsidRDefault="0047240E" w:rsidP="0047240E">
      <w:pPr>
        <w:numPr>
          <w:ilvl w:val="0"/>
          <w:numId w:val="2"/>
        </w:numPr>
        <w:spacing w:line="360" w:lineRule="auto"/>
        <w:rPr>
          <w:sz w:val="24"/>
        </w:rPr>
      </w:pPr>
      <w:r w:rsidRPr="00177AFD">
        <w:rPr>
          <w:rFonts w:hint="eastAsia"/>
          <w:sz w:val="24"/>
        </w:rPr>
        <w:t>验收标准等事项：采购人应严格按照《财政部关于进一步加强政府采购需求和履约验收管理的指导意见》（财库【</w:t>
      </w:r>
      <w:r w:rsidRPr="00177AFD">
        <w:rPr>
          <w:rFonts w:hint="eastAsia"/>
          <w:sz w:val="24"/>
        </w:rPr>
        <w:t>2016</w:t>
      </w:r>
      <w:r w:rsidRPr="00177AFD">
        <w:rPr>
          <w:rFonts w:hint="eastAsia"/>
          <w:sz w:val="24"/>
        </w:rPr>
        <w:t>】</w:t>
      </w:r>
      <w:r w:rsidRPr="00177AFD">
        <w:rPr>
          <w:rFonts w:hint="eastAsia"/>
          <w:sz w:val="24"/>
        </w:rPr>
        <w:t>205</w:t>
      </w:r>
      <w:r w:rsidRPr="00177AFD">
        <w:rPr>
          <w:rFonts w:hint="eastAsia"/>
          <w:sz w:val="24"/>
        </w:rPr>
        <w:t>号）的要求进行验收，同时按国家有关规定、采购文件的质量要求和技术指标、供应商的响应文件及承诺与合同约定进行验收。</w:t>
      </w:r>
    </w:p>
    <w:p w:rsidR="0047240E" w:rsidRPr="00177AFD" w:rsidRDefault="0047240E" w:rsidP="0047240E">
      <w:pPr>
        <w:spacing w:line="360" w:lineRule="auto"/>
        <w:ind w:firstLineChars="100" w:firstLine="240"/>
        <w:jc w:val="left"/>
        <w:rPr>
          <w:rFonts w:ascii="宋体" w:hAnsi="宋体"/>
          <w:sz w:val="24"/>
        </w:rPr>
      </w:pPr>
      <w:r w:rsidRPr="00177AFD">
        <w:rPr>
          <w:rFonts w:ascii="宋体" w:hAnsi="宋体" w:hint="eastAsia"/>
          <w:sz w:val="24"/>
        </w:rPr>
        <w:t>2、付款方式：</w:t>
      </w:r>
    </w:p>
    <w:p w:rsidR="0047240E" w:rsidRPr="00177AFD" w:rsidRDefault="0047240E" w:rsidP="0047240E">
      <w:pPr>
        <w:spacing w:line="360" w:lineRule="auto"/>
        <w:ind w:firstLineChars="200" w:firstLine="480"/>
        <w:jc w:val="left"/>
        <w:rPr>
          <w:rFonts w:ascii="宋体" w:hAnsi="宋体"/>
          <w:sz w:val="24"/>
        </w:rPr>
      </w:pPr>
      <w:r w:rsidRPr="00177AFD">
        <w:rPr>
          <w:rFonts w:ascii="宋体" w:hAnsi="宋体" w:hint="eastAsia"/>
          <w:sz w:val="24"/>
        </w:rPr>
        <w:t>（1）在中江县农业农村局抽验合格的基础上，据实结算。</w:t>
      </w:r>
    </w:p>
    <w:p w:rsidR="0047240E" w:rsidRPr="00177AFD" w:rsidRDefault="0047240E" w:rsidP="0047240E">
      <w:pPr>
        <w:spacing w:line="360" w:lineRule="auto"/>
        <w:ind w:firstLineChars="200" w:firstLine="480"/>
        <w:jc w:val="left"/>
        <w:rPr>
          <w:rFonts w:ascii="宋体" w:hAnsi="宋体"/>
          <w:sz w:val="24"/>
        </w:rPr>
      </w:pPr>
      <w:r w:rsidRPr="00177AFD">
        <w:rPr>
          <w:rFonts w:ascii="宋体" w:hAnsi="宋体" w:hint="eastAsia"/>
          <w:sz w:val="24"/>
        </w:rPr>
        <w:t>（2）经验收合格后一次性付清合同价款。</w:t>
      </w:r>
    </w:p>
    <w:p w:rsidR="0047240E" w:rsidRPr="00177AFD" w:rsidRDefault="0047240E" w:rsidP="0047240E">
      <w:pPr>
        <w:spacing w:line="360" w:lineRule="auto"/>
        <w:ind w:firstLineChars="100" w:firstLine="240"/>
        <w:jc w:val="left"/>
        <w:rPr>
          <w:rFonts w:ascii="宋体" w:hAnsi="宋体"/>
          <w:sz w:val="24"/>
        </w:rPr>
      </w:pPr>
      <w:r w:rsidRPr="00177AFD">
        <w:rPr>
          <w:rFonts w:ascii="宋体" w:hAnsi="宋体" w:hint="eastAsia"/>
          <w:sz w:val="24"/>
        </w:rPr>
        <w:t>★3、合同履约期间一切安全责任</w:t>
      </w:r>
      <w:proofErr w:type="gramStart"/>
      <w:r w:rsidRPr="00177AFD">
        <w:rPr>
          <w:rFonts w:ascii="宋体" w:hAnsi="宋体" w:hint="eastAsia"/>
          <w:sz w:val="24"/>
        </w:rPr>
        <w:t>由成交</w:t>
      </w:r>
      <w:proofErr w:type="gramEnd"/>
      <w:r w:rsidRPr="00177AFD">
        <w:rPr>
          <w:rFonts w:ascii="宋体" w:hAnsi="宋体" w:hint="eastAsia"/>
          <w:sz w:val="24"/>
        </w:rPr>
        <w:t>供应商负责，供应商须在响应文件中</w:t>
      </w:r>
      <w:proofErr w:type="gramStart"/>
      <w:r w:rsidRPr="00177AFD">
        <w:rPr>
          <w:rFonts w:ascii="宋体" w:hAnsi="宋体" w:hint="eastAsia"/>
          <w:sz w:val="24"/>
        </w:rPr>
        <w:t>附安全</w:t>
      </w:r>
      <w:proofErr w:type="gramEnd"/>
      <w:r w:rsidRPr="00177AFD">
        <w:rPr>
          <w:rFonts w:ascii="宋体" w:hAnsi="宋体" w:hint="eastAsia"/>
          <w:sz w:val="24"/>
        </w:rPr>
        <w:t>承诺书，并承诺在成交后对作业人员购买雇主险（提供承诺函）。</w:t>
      </w:r>
    </w:p>
    <w:p w:rsidR="0047240E" w:rsidRPr="00177AFD" w:rsidRDefault="0047240E" w:rsidP="0047240E">
      <w:pPr>
        <w:spacing w:line="360" w:lineRule="auto"/>
        <w:ind w:firstLineChars="100" w:firstLine="240"/>
        <w:jc w:val="left"/>
        <w:rPr>
          <w:rFonts w:ascii="宋体" w:hAnsi="宋体"/>
          <w:sz w:val="24"/>
        </w:rPr>
      </w:pPr>
      <w:r w:rsidRPr="00177AFD">
        <w:rPr>
          <w:rFonts w:ascii="宋体" w:hAnsi="宋体" w:hint="eastAsia"/>
          <w:sz w:val="24"/>
        </w:rPr>
        <w:t>4、履约时间：2023年9 月至2024年5月。</w:t>
      </w:r>
    </w:p>
    <w:p w:rsidR="0047240E" w:rsidRPr="00177AFD" w:rsidRDefault="0047240E" w:rsidP="0047240E">
      <w:pPr>
        <w:spacing w:line="360" w:lineRule="auto"/>
        <w:ind w:firstLineChars="100" w:firstLine="240"/>
        <w:jc w:val="left"/>
        <w:rPr>
          <w:rFonts w:ascii="宋体" w:hAnsi="宋体"/>
          <w:sz w:val="24"/>
        </w:rPr>
      </w:pPr>
      <w:r w:rsidRPr="00177AFD">
        <w:rPr>
          <w:rFonts w:ascii="宋体" w:hAnsi="宋体" w:hint="eastAsia"/>
          <w:sz w:val="24"/>
        </w:rPr>
        <w:t>5、供应商参加</w:t>
      </w:r>
      <w:proofErr w:type="gramStart"/>
      <w:r w:rsidRPr="00177AFD">
        <w:rPr>
          <w:rFonts w:ascii="宋体" w:hAnsi="宋体" w:hint="eastAsia"/>
          <w:sz w:val="24"/>
        </w:rPr>
        <w:t>每个包号磋商</w:t>
      </w:r>
      <w:proofErr w:type="gramEnd"/>
      <w:r w:rsidRPr="00177AFD">
        <w:rPr>
          <w:rFonts w:ascii="宋体" w:hAnsi="宋体" w:hint="eastAsia"/>
          <w:sz w:val="24"/>
        </w:rPr>
        <w:t>，应当独立提供各包响应文件，否则作无效响应。</w:t>
      </w:r>
    </w:p>
    <w:p w:rsidR="0047240E" w:rsidRPr="00177AFD" w:rsidRDefault="0047240E" w:rsidP="0047240E">
      <w:pPr>
        <w:pStyle w:val="a5"/>
        <w:spacing w:line="360" w:lineRule="auto"/>
        <w:ind w:firstLineChars="132" w:firstLine="318"/>
        <w:rPr>
          <w:rFonts w:ascii="宋体" w:hAnsi="宋体"/>
          <w:b/>
          <w:sz w:val="24"/>
        </w:rPr>
      </w:pPr>
      <w:r w:rsidRPr="00177AFD">
        <w:rPr>
          <w:rFonts w:hint="eastAsia"/>
          <w:b/>
          <w:sz w:val="24"/>
        </w:rPr>
        <w:t>五、</w:t>
      </w:r>
      <w:r w:rsidRPr="00177AFD">
        <w:rPr>
          <w:rFonts w:ascii="宋体" w:hAnsi="宋体" w:hint="eastAsia"/>
          <w:b/>
          <w:sz w:val="24"/>
        </w:rPr>
        <w:t>其它要求：</w:t>
      </w:r>
    </w:p>
    <w:p w:rsidR="0047240E" w:rsidRPr="00177AFD" w:rsidRDefault="0047240E" w:rsidP="0047240E">
      <w:pPr>
        <w:widowControl/>
        <w:spacing w:line="360" w:lineRule="auto"/>
        <w:ind w:leftChars="228" w:left="719" w:hangingChars="100" w:hanging="240"/>
        <w:rPr>
          <w:rFonts w:ascii="宋体" w:hAnsi="宋体"/>
          <w:bCs/>
          <w:sz w:val="24"/>
        </w:rPr>
      </w:pPr>
      <w:r w:rsidRPr="00177AFD">
        <w:rPr>
          <w:rFonts w:ascii="宋体" w:hAnsi="宋体" w:hint="eastAsia"/>
          <w:bCs/>
          <w:sz w:val="24"/>
        </w:rPr>
        <w:t>1、供应商需要提供评分</w:t>
      </w:r>
      <w:proofErr w:type="gramStart"/>
      <w:r w:rsidRPr="00177AFD">
        <w:rPr>
          <w:rFonts w:ascii="宋体" w:hAnsi="宋体" w:hint="eastAsia"/>
          <w:bCs/>
          <w:sz w:val="24"/>
        </w:rPr>
        <w:t>表要求</w:t>
      </w:r>
      <w:proofErr w:type="gramEnd"/>
      <w:r w:rsidRPr="00177AFD">
        <w:rPr>
          <w:rFonts w:ascii="宋体" w:hAnsi="宋体" w:hint="eastAsia"/>
          <w:bCs/>
          <w:sz w:val="24"/>
        </w:rPr>
        <w:t>的评分项的相关资料（复印件），以便评分。</w:t>
      </w:r>
    </w:p>
    <w:p w:rsidR="0047240E" w:rsidRPr="00177AFD" w:rsidRDefault="0047240E" w:rsidP="0047240E">
      <w:pPr>
        <w:spacing w:line="360" w:lineRule="auto"/>
        <w:ind w:firstLineChars="200" w:firstLine="480"/>
        <w:rPr>
          <w:rFonts w:ascii="宋体" w:hAnsi="宋体"/>
          <w:sz w:val="24"/>
        </w:rPr>
      </w:pPr>
      <w:r w:rsidRPr="00177AFD">
        <w:rPr>
          <w:rFonts w:ascii="宋体" w:hAnsi="宋体" w:hint="eastAsia"/>
          <w:sz w:val="24"/>
        </w:rPr>
        <w:t>2、根据《财政部关于印发&lt;政府采购竞争性磋商采购方式管理暂行办法&gt;的通知》（财办库〔2014〕214 号）  第二十四条中“执行统一价格标准的项目，其价格不列为评分因素”，故本项目价格不列为评审因素，参与采购活动的供应商不作报价。</w:t>
      </w:r>
    </w:p>
    <w:p w:rsidR="0047240E" w:rsidRPr="00177AFD" w:rsidRDefault="0047240E" w:rsidP="0047240E">
      <w:pPr>
        <w:spacing w:line="360" w:lineRule="auto"/>
        <w:ind w:firstLineChars="200" w:firstLine="480"/>
        <w:rPr>
          <w:rFonts w:ascii="宋体" w:hAnsi="宋体"/>
          <w:sz w:val="24"/>
        </w:rPr>
      </w:pPr>
      <w:r w:rsidRPr="00177AFD">
        <w:rPr>
          <w:rFonts w:ascii="宋体" w:hAnsi="宋体" w:hint="eastAsia"/>
          <w:sz w:val="24"/>
        </w:rPr>
        <w:t>3、总结验收：协助采购人对项目实施情况进行全面总结，上报省、市财政和农业部门，并接受省、市检查验收。</w:t>
      </w:r>
    </w:p>
    <w:p w:rsidR="0047240E" w:rsidRPr="00177AFD" w:rsidRDefault="0047240E" w:rsidP="0047240E">
      <w:pPr>
        <w:spacing w:line="360" w:lineRule="auto"/>
        <w:ind w:firstLineChars="200" w:firstLine="482"/>
        <w:rPr>
          <w:rFonts w:ascii="宋体" w:hAnsi="宋体"/>
          <w:b/>
          <w:sz w:val="24"/>
        </w:rPr>
      </w:pPr>
    </w:p>
    <w:p w:rsidR="0047240E" w:rsidRPr="00177AFD" w:rsidRDefault="0047240E" w:rsidP="0047240E">
      <w:pPr>
        <w:spacing w:line="360" w:lineRule="auto"/>
        <w:ind w:firstLineChars="200" w:firstLine="482"/>
        <w:rPr>
          <w:rFonts w:ascii="宋体" w:hAnsi="宋体"/>
          <w:b/>
          <w:sz w:val="24"/>
        </w:rPr>
      </w:pPr>
      <w:r w:rsidRPr="00177AFD">
        <w:rPr>
          <w:rFonts w:ascii="宋体" w:hAnsi="宋体" w:hint="eastAsia"/>
          <w:b/>
          <w:sz w:val="24"/>
        </w:rPr>
        <w:t>注：</w:t>
      </w:r>
      <w:proofErr w:type="gramStart"/>
      <w:r w:rsidRPr="00177AFD">
        <w:rPr>
          <w:rFonts w:ascii="宋体" w:hAnsi="宋体" w:hint="eastAsia"/>
          <w:b/>
          <w:sz w:val="24"/>
        </w:rPr>
        <w:t>以上★</w:t>
      </w:r>
      <w:proofErr w:type="gramEnd"/>
      <w:r w:rsidRPr="00177AFD">
        <w:rPr>
          <w:rFonts w:ascii="宋体" w:hAnsi="宋体" w:hint="eastAsia"/>
          <w:b/>
          <w:sz w:val="24"/>
        </w:rPr>
        <w:t>条款为本项目实质性要求，不允许负偏离，否则作无效响应处理。</w:t>
      </w:r>
    </w:p>
    <w:p w:rsidR="00FB7CE4" w:rsidRPr="0047240E" w:rsidRDefault="00FB7CE4"/>
    <w:sectPr w:rsidR="00FB7CE4" w:rsidRPr="004724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E50" w:rsidRDefault="000F1E50" w:rsidP="0047240E">
      <w:r>
        <w:separator/>
      </w:r>
    </w:p>
  </w:endnote>
  <w:endnote w:type="continuationSeparator" w:id="0">
    <w:p w:rsidR="000F1E50" w:rsidRDefault="000F1E50" w:rsidP="0047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E50" w:rsidRDefault="000F1E50" w:rsidP="0047240E">
      <w:r>
        <w:separator/>
      </w:r>
    </w:p>
  </w:footnote>
  <w:footnote w:type="continuationSeparator" w:id="0">
    <w:p w:rsidR="000F1E50" w:rsidRDefault="000F1E50" w:rsidP="00472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51798"/>
    <w:multiLevelType w:val="multilevel"/>
    <w:tmpl w:val="34751798"/>
    <w:lvl w:ilvl="0">
      <w:start w:val="1"/>
      <w:numFmt w:val="decimal"/>
      <w:lvlText w:val="%1)"/>
      <w:lvlJc w:val="left"/>
      <w:pPr>
        <w:ind w:left="889" w:hanging="420"/>
      </w:pPr>
    </w:lvl>
    <w:lvl w:ilvl="1">
      <w:start w:val="1"/>
      <w:numFmt w:val="lowerLetter"/>
      <w:lvlText w:val="%2)"/>
      <w:lvlJc w:val="left"/>
      <w:pPr>
        <w:ind w:left="1309" w:hanging="420"/>
      </w:pPr>
    </w:lvl>
    <w:lvl w:ilvl="2">
      <w:start w:val="1"/>
      <w:numFmt w:val="lowerRoman"/>
      <w:lvlText w:val="%3."/>
      <w:lvlJc w:val="right"/>
      <w:pPr>
        <w:ind w:left="1729" w:hanging="420"/>
      </w:pPr>
    </w:lvl>
    <w:lvl w:ilvl="3">
      <w:start w:val="1"/>
      <w:numFmt w:val="decimal"/>
      <w:lvlText w:val="%4."/>
      <w:lvlJc w:val="left"/>
      <w:pPr>
        <w:ind w:left="2149" w:hanging="420"/>
      </w:pPr>
    </w:lvl>
    <w:lvl w:ilvl="4">
      <w:start w:val="1"/>
      <w:numFmt w:val="lowerLetter"/>
      <w:lvlText w:val="%5)"/>
      <w:lvlJc w:val="left"/>
      <w:pPr>
        <w:ind w:left="2569" w:hanging="420"/>
      </w:pPr>
    </w:lvl>
    <w:lvl w:ilvl="5">
      <w:start w:val="1"/>
      <w:numFmt w:val="lowerRoman"/>
      <w:lvlText w:val="%6."/>
      <w:lvlJc w:val="right"/>
      <w:pPr>
        <w:ind w:left="2989" w:hanging="420"/>
      </w:pPr>
    </w:lvl>
    <w:lvl w:ilvl="6">
      <w:start w:val="1"/>
      <w:numFmt w:val="decimal"/>
      <w:lvlText w:val="%7."/>
      <w:lvlJc w:val="left"/>
      <w:pPr>
        <w:ind w:left="3409" w:hanging="420"/>
      </w:pPr>
    </w:lvl>
    <w:lvl w:ilvl="7">
      <w:start w:val="1"/>
      <w:numFmt w:val="lowerLetter"/>
      <w:lvlText w:val="%8)"/>
      <w:lvlJc w:val="left"/>
      <w:pPr>
        <w:ind w:left="3829" w:hanging="420"/>
      </w:pPr>
    </w:lvl>
    <w:lvl w:ilvl="8">
      <w:start w:val="1"/>
      <w:numFmt w:val="lowerRoman"/>
      <w:lvlText w:val="%9."/>
      <w:lvlJc w:val="right"/>
      <w:pPr>
        <w:ind w:left="4249" w:hanging="420"/>
      </w:pPr>
    </w:lvl>
  </w:abstractNum>
  <w:abstractNum w:abstractNumId="1">
    <w:nsid w:val="39EA2CAF"/>
    <w:multiLevelType w:val="singleLevel"/>
    <w:tmpl w:val="39EA2CAF"/>
    <w:lvl w:ilvl="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19"/>
    <w:rsid w:val="000F1E50"/>
    <w:rsid w:val="00152819"/>
    <w:rsid w:val="0047240E"/>
    <w:rsid w:val="00FB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4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2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240E"/>
    <w:rPr>
      <w:sz w:val="18"/>
      <w:szCs w:val="18"/>
    </w:rPr>
  </w:style>
  <w:style w:type="paragraph" w:styleId="a4">
    <w:name w:val="footer"/>
    <w:basedOn w:val="a"/>
    <w:link w:val="Char0"/>
    <w:uiPriority w:val="99"/>
    <w:unhideWhenUsed/>
    <w:rsid w:val="0047240E"/>
    <w:pPr>
      <w:tabs>
        <w:tab w:val="center" w:pos="4153"/>
        <w:tab w:val="right" w:pos="8306"/>
      </w:tabs>
      <w:snapToGrid w:val="0"/>
      <w:jc w:val="left"/>
    </w:pPr>
    <w:rPr>
      <w:sz w:val="18"/>
      <w:szCs w:val="18"/>
    </w:rPr>
  </w:style>
  <w:style w:type="character" w:customStyle="1" w:styleId="Char0">
    <w:name w:val="页脚 Char"/>
    <w:basedOn w:val="a0"/>
    <w:link w:val="a4"/>
    <w:uiPriority w:val="99"/>
    <w:rsid w:val="0047240E"/>
    <w:rPr>
      <w:sz w:val="18"/>
      <w:szCs w:val="18"/>
    </w:rPr>
  </w:style>
  <w:style w:type="paragraph" w:styleId="a5">
    <w:name w:val="Normal Indent"/>
    <w:basedOn w:val="a"/>
    <w:link w:val="Char1"/>
    <w:uiPriority w:val="99"/>
    <w:qFormat/>
    <w:rsid w:val="0047240E"/>
    <w:pPr>
      <w:ind w:firstLineChars="200" w:firstLine="420"/>
    </w:pPr>
    <w:rPr>
      <w:rFonts w:eastAsia="宋体"/>
      <w:szCs w:val="24"/>
    </w:rPr>
  </w:style>
  <w:style w:type="character" w:customStyle="1" w:styleId="Char1">
    <w:name w:val="正文缩进 Char"/>
    <w:link w:val="a5"/>
    <w:uiPriority w:val="99"/>
    <w:qFormat/>
    <w:rsid w:val="0047240E"/>
    <w:rPr>
      <w:rFonts w:eastAsia="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4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2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240E"/>
    <w:rPr>
      <w:sz w:val="18"/>
      <w:szCs w:val="18"/>
    </w:rPr>
  </w:style>
  <w:style w:type="paragraph" w:styleId="a4">
    <w:name w:val="footer"/>
    <w:basedOn w:val="a"/>
    <w:link w:val="Char0"/>
    <w:uiPriority w:val="99"/>
    <w:unhideWhenUsed/>
    <w:rsid w:val="0047240E"/>
    <w:pPr>
      <w:tabs>
        <w:tab w:val="center" w:pos="4153"/>
        <w:tab w:val="right" w:pos="8306"/>
      </w:tabs>
      <w:snapToGrid w:val="0"/>
      <w:jc w:val="left"/>
    </w:pPr>
    <w:rPr>
      <w:sz w:val="18"/>
      <w:szCs w:val="18"/>
    </w:rPr>
  </w:style>
  <w:style w:type="character" w:customStyle="1" w:styleId="Char0">
    <w:name w:val="页脚 Char"/>
    <w:basedOn w:val="a0"/>
    <w:link w:val="a4"/>
    <w:uiPriority w:val="99"/>
    <w:rsid w:val="0047240E"/>
    <w:rPr>
      <w:sz w:val="18"/>
      <w:szCs w:val="18"/>
    </w:rPr>
  </w:style>
  <w:style w:type="paragraph" w:styleId="a5">
    <w:name w:val="Normal Indent"/>
    <w:basedOn w:val="a"/>
    <w:link w:val="Char1"/>
    <w:uiPriority w:val="99"/>
    <w:qFormat/>
    <w:rsid w:val="0047240E"/>
    <w:pPr>
      <w:ind w:firstLineChars="200" w:firstLine="420"/>
    </w:pPr>
    <w:rPr>
      <w:rFonts w:eastAsia="宋体"/>
      <w:szCs w:val="24"/>
    </w:rPr>
  </w:style>
  <w:style w:type="character" w:customStyle="1" w:styleId="Char1">
    <w:name w:val="正文缩进 Char"/>
    <w:link w:val="a5"/>
    <w:uiPriority w:val="99"/>
    <w:qFormat/>
    <w:rsid w:val="0047240E"/>
    <w:rPr>
      <w:rFonts w:eastAsia="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2</cp:revision>
  <dcterms:created xsi:type="dcterms:W3CDTF">2023-08-23T07:27:00Z</dcterms:created>
  <dcterms:modified xsi:type="dcterms:W3CDTF">2023-08-23T07:27:00Z</dcterms:modified>
</cp:coreProperties>
</file>