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</w:t>
      </w:r>
    </w:p>
    <w:tbl>
      <w:tblPr>
        <w:tblStyle w:val="3"/>
        <w:tblW w:w="8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7"/>
        <w:gridCol w:w="583"/>
        <w:gridCol w:w="1120"/>
        <w:gridCol w:w="191"/>
        <w:gridCol w:w="600"/>
        <w:gridCol w:w="1666"/>
        <w:gridCol w:w="1466"/>
        <w:gridCol w:w="716"/>
        <w:gridCol w:w="933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2022年财政衔接资金公益性岗位项目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张勇华7219895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中江县人力资源和社会保障局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中江县各乡镇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</w:t>
            </w:r>
            <w:r>
              <w:rPr>
                <w:rStyle w:val="5"/>
                <w:rFonts w:eastAsia="宋体"/>
                <w:lang w:val="en-US" w:eastAsia="zh-CN" w:bidi="ar"/>
              </w:rPr>
              <w:t>A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</w:t>
            </w:r>
            <w:r>
              <w:rPr>
                <w:rStyle w:val="5"/>
                <w:rFonts w:eastAsia="宋体"/>
                <w:lang w:val="en-US" w:eastAsia="zh-CN" w:bidi="ar"/>
              </w:rPr>
              <w:t>B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</w:t>
            </w:r>
            <w:r>
              <w:rPr>
                <w:rStyle w:val="5"/>
                <w:rFonts w:eastAsia="宋体"/>
                <w:lang w:val="en-US" w:eastAsia="zh-CN" w:bidi="ar"/>
              </w:rPr>
              <w:t>B/A)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0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0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根据我县巩固拓展脱贫攻坚成果和乡村振兴部署计划，拟完成5350人脱贫户（含监测对象）村级特殊公益性岗位，通过给具备一定劳动能力的脱贫户（含监测对象）提供公益性岗位，解决就业增收，提升脱贫户（含监测对象）自食其力的能力和社会价值，提高社会公益性事业和群众满意度，巩固脱贫成效。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根据我县巩固拓展脱贫攻坚成果和乡村振兴部署计划，2022年完成5374人脱贫户（含监测对象）村级特殊公益性岗位，通过给具备一定劳动能力的脱贫户（含监测对象）提供公益性岗位，解决就业增收，提升脱贫户（含监测对象）自食其力的能力和社会价值，提高社会公益性事业和群众满意度，巩固脱贫成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全年实际值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享受公益性岗位补贴人数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≥5350人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5374人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村级公益性岗位到岗率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补助金额及时发放率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公益性岗位奖补人均标准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≤300元/月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脱贫户（含监测对象）年收入增加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≤3600元/年/人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3536元/年/人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受益脱贫户（含监测对象）人口数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≥5350人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5374人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受益脱贫户（含监测对象）满意度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部分人员认为公益性岗位补贴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月太少，对增加家庭收入起不到多大作用。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4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总分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99.79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796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.</w:t>
            </w:r>
            <w:r>
              <w:rPr>
                <w:rStyle w:val="11"/>
                <w:rFonts w:ascii="宋体" w:hAnsi="Times New Roman" w:eastAsia="宋体" w:cs="宋体"/>
                <w:sz w:val="24"/>
                <w:szCs w:val="24"/>
                <w:lang w:val="en-US" w:eastAsia="zh-CN" w:bidi="ar"/>
              </w:rPr>
              <w:t>一级指标分值统一设置为：产出指标</w:t>
            </w:r>
            <w:r>
              <w:rPr>
                <w:rStyle w:val="10"/>
                <w:rFonts w:eastAsia="宋体"/>
                <w:lang w:val="en-US" w:eastAsia="zh-CN" w:bidi="ar"/>
              </w:rPr>
              <w:t>50</w:t>
            </w:r>
            <w:r>
              <w:rPr>
                <w:rStyle w:val="11"/>
                <w:rFonts w:ascii="宋体" w:hAnsi="Times New Roman" w:eastAsia="宋体" w:cs="宋体"/>
                <w:sz w:val="24"/>
                <w:szCs w:val="24"/>
                <w:lang w:val="en-US" w:eastAsia="zh-CN" w:bidi="ar"/>
              </w:rPr>
              <w:t>分、效益指标</w:t>
            </w:r>
            <w:r>
              <w:rPr>
                <w:rStyle w:val="10"/>
                <w:rFonts w:eastAsia="宋体"/>
                <w:lang w:val="en-US" w:eastAsia="zh-CN" w:bidi="ar"/>
              </w:rPr>
              <w:t>30</w:t>
            </w:r>
            <w:r>
              <w:rPr>
                <w:rStyle w:val="11"/>
                <w:rFonts w:ascii="宋体" w:hAnsi="Times New Roman" w:eastAsia="宋体" w:cs="宋体"/>
                <w:sz w:val="24"/>
                <w:szCs w:val="24"/>
                <w:lang w:val="en-US" w:eastAsia="zh-CN" w:bidi="ar"/>
              </w:rPr>
              <w:t>分、满意度指标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11"/>
                <w:rFonts w:ascii="宋体" w:hAnsi="Times New Roman" w:eastAsia="宋体" w:cs="宋体"/>
                <w:sz w:val="24"/>
                <w:szCs w:val="24"/>
                <w:lang w:val="en-US" w:eastAsia="zh-CN" w:bidi="ar"/>
              </w:rPr>
              <w:t>分、预算资金执行率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11"/>
                <w:rFonts w:ascii="宋体" w:hAnsi="Times New Roman" w:eastAsia="宋体" w:cs="宋体"/>
                <w:sz w:val="24"/>
                <w:szCs w:val="24"/>
                <w:lang w:val="en-US" w:eastAsia="zh-CN" w:bidi="ar"/>
              </w:rPr>
              <w:t>分。如有特殊情况，上述权重可做适当调整，但加总后应等于</w:t>
            </w:r>
            <w:r>
              <w:rPr>
                <w:rStyle w:val="10"/>
                <w:rFonts w:eastAsia="宋体"/>
                <w:lang w:val="en-US" w:eastAsia="zh-CN" w:bidi="ar"/>
              </w:rPr>
              <w:t>100</w:t>
            </w:r>
            <w:r>
              <w:rPr>
                <w:rStyle w:val="11"/>
                <w:rFonts w:ascii="宋体" w:hAnsi="Times New Roman" w:eastAsia="宋体" w:cs="宋体"/>
                <w:sz w:val="24"/>
                <w:szCs w:val="24"/>
                <w:lang w:val="en-US" w:eastAsia="zh-CN" w:bidi="ar"/>
              </w:rPr>
              <w:t>分。各部门根据各项指标重要程度确定三级指标的分值。得分最高不能超过该指标分值上限。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2.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定性指标根据指标完成情况分为：达成预期指标、部分达成预期指标并具有一定效果、未达成预期指标且效果较差三档，分别按照该指标对应分值区间</w:t>
            </w:r>
            <w:r>
              <w:rPr>
                <w:rStyle w:val="9"/>
                <w:rFonts w:eastAsia="宋体"/>
                <w:lang w:val="en-US" w:eastAsia="zh-CN" w:bidi="ar"/>
              </w:rPr>
              <w:t>100-80%(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9"/>
                <w:rFonts w:eastAsia="宋体"/>
                <w:lang w:val="en-US" w:eastAsia="zh-CN" w:bidi="ar"/>
              </w:rPr>
              <w:t>80%)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lang w:val="en-US" w:eastAsia="zh-CN" w:bidi="ar"/>
              </w:rPr>
              <w:t>80-60%(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9"/>
                <w:rFonts w:eastAsia="宋体"/>
                <w:lang w:val="en-US" w:eastAsia="zh-CN" w:bidi="ar"/>
              </w:rPr>
              <w:t>60%)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lang w:val="en-US" w:eastAsia="zh-CN" w:bidi="ar"/>
              </w:rPr>
              <w:t>60-0%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合理确定得分。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3.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定量指标若为正向指标（即指标值为</w:t>
            </w:r>
            <w:r>
              <w:rPr>
                <w:rStyle w:val="12"/>
                <w:rFonts w:eastAsia="宋体"/>
                <w:lang w:val="en-US" w:eastAsia="zh-CN" w:bidi="ar"/>
              </w:rPr>
              <w:t>≥*</w:t>
            </w:r>
            <w:r>
              <w:rPr>
                <w:rStyle w:val="13"/>
                <w:rFonts w:hAnsi="Times New Roman"/>
                <w:lang w:val="en-US" w:eastAsia="zh-CN" w:bidi="ar"/>
              </w:rPr>
              <w:t>），则得分计算方法应用全年实际值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rFonts w:hAnsi="Times New Roman"/>
                <w:lang w:val="en-US" w:eastAsia="zh-CN" w:bidi="ar"/>
              </w:rPr>
              <w:t>年度指标值</w:t>
            </w:r>
            <w:r>
              <w:rPr>
                <w:rStyle w:val="14"/>
                <w:lang w:val="en-US" w:eastAsia="zh-CN" w:bidi="ar"/>
              </w:rPr>
              <w:t>╳</w:t>
            </w:r>
            <w:r>
              <w:rPr>
                <w:rStyle w:val="13"/>
                <w:rFonts w:hAnsi="Times New Roman"/>
                <w:lang w:val="en-US" w:eastAsia="zh-CN" w:bidi="ar"/>
              </w:rPr>
              <w:t>该指标分值；若定量指标为反向指标（即指标值为</w:t>
            </w:r>
            <w:r>
              <w:rPr>
                <w:rStyle w:val="12"/>
                <w:rFonts w:eastAsia="宋体"/>
                <w:lang w:val="en-US" w:eastAsia="zh-CN" w:bidi="ar"/>
              </w:rPr>
              <w:t>≤*</w:t>
            </w:r>
            <w:r>
              <w:rPr>
                <w:rStyle w:val="13"/>
                <w:rFonts w:hAnsi="Times New Roman"/>
                <w:lang w:val="en-US" w:eastAsia="zh-CN" w:bidi="ar"/>
              </w:rPr>
              <w:t>），则得分计算方法应用年度指标值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rFonts w:hAnsi="Times New Roman"/>
                <w:lang w:val="en-US" w:eastAsia="zh-CN" w:bidi="ar"/>
              </w:rPr>
              <w:t>全年实际值</w:t>
            </w:r>
            <w:r>
              <w:rPr>
                <w:rStyle w:val="14"/>
                <w:lang w:val="en-US" w:eastAsia="zh-CN" w:bidi="ar"/>
              </w:rPr>
              <w:t>╳</w:t>
            </w:r>
            <w:r>
              <w:rPr>
                <w:rStyle w:val="13"/>
                <w:rFonts w:hAnsi="Times New Roman"/>
                <w:lang w:val="en-US" w:eastAsia="zh-CN" w:bidi="ar"/>
              </w:rPr>
              <w:t>该指标分值；定量指标得分最高不得超过该指标分值上限。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TBjYjIyNzY1MWNhOTBjZmY4ZTc0YjhmYzY4MDMifQ=="/>
  </w:docVars>
  <w:rsids>
    <w:rsidRoot w:val="46E6627E"/>
    <w:rsid w:val="46E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32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81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91"/>
    <w:basedOn w:val="4"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9">
    <w:name w:val="font12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0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212"/>
    <w:basedOn w:val="4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10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221"/>
    <w:basedOn w:val="4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231"/>
    <w:basedOn w:val="4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2022-12-29T02:44:00Z</dcterms:created>
  <dc:creator>Lenovo</dc:creator>
  <cp:lastModifiedBy>Lenovo</cp:lastModifiedBy>
  <dcterms:modified xsi:type="dcterms:W3CDTF">2022-12-29T02:44:59Z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DE5261FAA14946F1BBB87031D1A71712</vt:lpwstr>
  </property>
</Properties>
</file>