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C0FF" w14:textId="77777777" w:rsidR="0065101B" w:rsidRPr="00FD6872" w:rsidRDefault="0065101B" w:rsidP="0065101B">
      <w:pPr>
        <w:spacing w:line="600" w:lineRule="exact"/>
        <w:rPr>
          <w:rFonts w:ascii="黑体" w:eastAsia="黑体" w:hAnsi="黑体" w:cs="Times New Roman"/>
          <w:color w:val="000000" w:themeColor="text1"/>
          <w:sz w:val="32"/>
          <w:szCs w:val="30"/>
        </w:rPr>
      </w:pPr>
      <w:r w:rsidRPr="00FD6872">
        <w:rPr>
          <w:rFonts w:ascii="黑体" w:eastAsia="黑体" w:hAnsi="黑体" w:cs="Times New Roman" w:hint="eastAsia"/>
          <w:color w:val="000000" w:themeColor="text1"/>
          <w:sz w:val="32"/>
          <w:szCs w:val="30"/>
        </w:rPr>
        <w:t>附件3</w:t>
      </w:r>
    </w:p>
    <w:p w14:paraId="5AB0B952" w14:textId="77777777" w:rsidR="0065101B" w:rsidRPr="00FD6872" w:rsidRDefault="0065101B" w:rsidP="0065101B">
      <w:pPr>
        <w:overflowPunct w:val="0"/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cs="宋体"/>
          <w:color w:val="000000"/>
          <w:kern w:val="21"/>
          <w:sz w:val="36"/>
          <w:szCs w:val="36"/>
        </w:rPr>
      </w:pPr>
      <w:r w:rsidRPr="00FD6872">
        <w:rPr>
          <w:rFonts w:ascii="方正小标宋简体" w:eastAsia="方正小标宋简体" w:hAnsi="宋体" w:cs="宋体" w:hint="eastAsia"/>
          <w:color w:val="000000"/>
          <w:kern w:val="21"/>
          <w:sz w:val="36"/>
          <w:szCs w:val="36"/>
        </w:rPr>
        <w:t>四川省仓储保鲜工程预算综合单价参考表（2022）</w:t>
      </w:r>
    </w:p>
    <w:tbl>
      <w:tblPr>
        <w:tblW w:w="85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752"/>
        <w:gridCol w:w="2528"/>
        <w:gridCol w:w="1330"/>
        <w:gridCol w:w="1643"/>
      </w:tblGrid>
      <w:tr w:rsidR="0065101B" w14:paraId="27D0946F" w14:textId="77777777" w:rsidTr="008047BB">
        <w:trPr>
          <w:trHeight w:val="590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271F4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A7E72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F1CF54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名称及规格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BA349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A3CBDB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综合单价（元）</w:t>
            </w:r>
          </w:p>
        </w:tc>
      </w:tr>
      <w:tr w:rsidR="0065101B" w14:paraId="24ACC159" w14:textId="77777777" w:rsidTr="008047BB">
        <w:trPr>
          <w:trHeight w:val="487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B342E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主体工程</w:t>
            </w:r>
          </w:p>
        </w:tc>
        <w:tc>
          <w:tcPr>
            <w:tcW w:w="7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6D719E" w14:textId="77777777" w:rsidR="0065101B" w:rsidRPr="00FD6872" w:rsidRDefault="0065101B" w:rsidP="008047BB">
            <w:pPr>
              <w:widowControl/>
              <w:spacing w:line="6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冷藏库建设参考</w:t>
            </w:r>
            <w:r w:rsidRPr="00FD687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2022</w:t>
            </w:r>
            <w:r w:rsidRPr="00FD687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补助目录（</w:t>
            </w:r>
            <w:proofErr w:type="gramStart"/>
            <w:r w:rsidRPr="00FD687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含库体</w:t>
            </w:r>
            <w:proofErr w:type="gramEnd"/>
            <w:r w:rsidRPr="00FD687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、制冷机及材料、安装等所有费用）。烘干房建设的烘干机械参照《四</w:t>
            </w: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川省</w:t>
            </w: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2018-2020</w:t>
            </w: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FD687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农机购置补贴额一览表（</w:t>
            </w:r>
            <w:r w:rsidRPr="00FD687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2020</w:t>
            </w:r>
            <w:r w:rsidRPr="00FD687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年调整）》，其他仓储设施参照补助目录。</w:t>
            </w:r>
          </w:p>
        </w:tc>
      </w:tr>
      <w:tr w:rsidR="0065101B" w14:paraId="5002322B" w14:textId="77777777" w:rsidTr="008047BB">
        <w:trPr>
          <w:trHeight w:val="338"/>
          <w:jc w:val="center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822C0E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基础工程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0DBD2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5DCCC0" w14:textId="77777777" w:rsidR="0065101B" w:rsidRPr="00FD6872" w:rsidRDefault="0065101B" w:rsidP="008047BB">
            <w:pPr>
              <w:widowControl/>
              <w:spacing w:line="6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场地平整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4A3D5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E2A87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65101B" w14:paraId="0BA3A8D7" w14:textId="77777777" w:rsidTr="008047BB">
        <w:trPr>
          <w:trHeight w:val="338"/>
          <w:jc w:val="center"/>
        </w:trPr>
        <w:tc>
          <w:tcPr>
            <w:tcW w:w="12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4B6D24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6EFE6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DFABC" w14:textId="77777777" w:rsidR="0065101B" w:rsidRPr="00FD6872" w:rsidRDefault="0065101B" w:rsidP="008047BB">
            <w:pPr>
              <w:widowControl/>
              <w:spacing w:line="6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土石方开挖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8D045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AB5F7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65101B" w14:paraId="45DF638E" w14:textId="77777777" w:rsidTr="008047BB">
        <w:trPr>
          <w:trHeight w:val="338"/>
          <w:jc w:val="center"/>
        </w:trPr>
        <w:tc>
          <w:tcPr>
            <w:tcW w:w="12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90E6FF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A8286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6E503B" w14:textId="77777777" w:rsidR="0065101B" w:rsidRPr="00FD6872" w:rsidRDefault="0065101B" w:rsidP="008047BB">
            <w:pPr>
              <w:widowControl/>
              <w:spacing w:line="6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土石方回填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8C385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41A838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65101B" w14:paraId="49D84F88" w14:textId="77777777" w:rsidTr="008047BB">
        <w:trPr>
          <w:trHeight w:val="338"/>
          <w:jc w:val="center"/>
        </w:trPr>
        <w:tc>
          <w:tcPr>
            <w:tcW w:w="12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B180D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D67FEB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F62201" w14:textId="77777777" w:rsidR="0065101B" w:rsidRPr="00FD6872" w:rsidRDefault="0065101B" w:rsidP="008047BB">
            <w:pPr>
              <w:widowControl/>
              <w:spacing w:line="6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现浇</w:t>
            </w: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C20</w:t>
            </w: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混凝土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834CB6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22E5D8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</w:tr>
      <w:tr w:rsidR="0065101B" w14:paraId="7DB12BB2" w14:textId="77777777" w:rsidTr="008047BB">
        <w:trPr>
          <w:trHeight w:val="338"/>
          <w:jc w:val="center"/>
        </w:trPr>
        <w:tc>
          <w:tcPr>
            <w:tcW w:w="12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FF9DD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14484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E3C64" w14:textId="77777777" w:rsidR="0065101B" w:rsidRPr="00FD6872" w:rsidRDefault="0065101B" w:rsidP="008047BB">
            <w:pPr>
              <w:widowControl/>
              <w:spacing w:line="6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M10</w:t>
            </w: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砂浆砌砖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FAA42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538F68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 w:rsidR="0065101B" w14:paraId="7866E2AE" w14:textId="77777777" w:rsidTr="008047BB">
        <w:trPr>
          <w:trHeight w:val="338"/>
          <w:jc w:val="center"/>
        </w:trPr>
        <w:tc>
          <w:tcPr>
            <w:tcW w:w="12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63E3C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E3878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F94809" w14:textId="77777777" w:rsidR="0065101B" w:rsidRPr="00FD6872" w:rsidRDefault="0065101B" w:rsidP="008047BB">
            <w:pPr>
              <w:widowControl/>
              <w:spacing w:line="6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墙面保温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D3F3C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7FC2F5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65101B" w14:paraId="42B9F34A" w14:textId="77777777" w:rsidTr="008047BB">
        <w:trPr>
          <w:trHeight w:val="338"/>
          <w:jc w:val="center"/>
        </w:trPr>
        <w:tc>
          <w:tcPr>
            <w:tcW w:w="12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131776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7D338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F04E0" w14:textId="77777777" w:rsidR="0065101B" w:rsidRPr="00FD6872" w:rsidRDefault="0065101B" w:rsidP="008047BB">
            <w:pPr>
              <w:widowControl/>
              <w:spacing w:line="6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钢筋制作安装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AF70A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42987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8200</w:t>
            </w:r>
          </w:p>
        </w:tc>
      </w:tr>
      <w:tr w:rsidR="0065101B" w14:paraId="57DEBBD1" w14:textId="77777777" w:rsidTr="008047BB">
        <w:trPr>
          <w:trHeight w:val="366"/>
          <w:jc w:val="center"/>
        </w:trPr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73027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BF32F0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21B3F" w14:textId="77777777" w:rsidR="0065101B" w:rsidRPr="00FD6872" w:rsidRDefault="0065101B" w:rsidP="008047BB">
            <w:pPr>
              <w:widowControl/>
              <w:spacing w:line="6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模板</w:t>
            </w:r>
            <w:proofErr w:type="gramStart"/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制安拆</w:t>
            </w:r>
            <w:proofErr w:type="gram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C15AF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88D39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65101B" w14:paraId="7DBA161D" w14:textId="77777777" w:rsidTr="008047BB">
        <w:trPr>
          <w:trHeight w:val="366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8215D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屋面设施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4977E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4AB26" w14:textId="77777777" w:rsidR="0065101B" w:rsidRPr="00FD6872" w:rsidRDefault="0065101B" w:rsidP="008047BB">
            <w:pPr>
              <w:widowControl/>
              <w:spacing w:line="6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轻钢结构（高</w:t>
            </w: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4m</w:t>
            </w: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67358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53ED0F" w14:textId="77777777" w:rsidR="0065101B" w:rsidRPr="00FD6872" w:rsidRDefault="0065101B" w:rsidP="008047BB">
            <w:pPr>
              <w:widowControl/>
              <w:spacing w:line="6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D687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</w:tr>
    </w:tbl>
    <w:p w14:paraId="66EF432E" w14:textId="77777777" w:rsidR="0065101B" w:rsidRPr="0011016D" w:rsidRDefault="0065101B" w:rsidP="0065101B">
      <w:pPr>
        <w:spacing w:line="62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val="zh-CN"/>
        </w:rPr>
      </w:pPr>
      <w:r w:rsidRPr="0011016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val="zh-CN"/>
        </w:rPr>
        <w:t>编制依据说明：</w:t>
      </w:r>
    </w:p>
    <w:p w14:paraId="03F1243D" w14:textId="77777777" w:rsidR="0065101B" w:rsidRDefault="0065101B" w:rsidP="0065101B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21"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21"/>
          <w:sz w:val="32"/>
          <w:szCs w:val="32"/>
          <w:lang w:val="zh-CN"/>
        </w:rPr>
        <w:t>建设工程预算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综合单价</w:t>
      </w:r>
      <w:r>
        <w:rPr>
          <w:rFonts w:ascii="Times New Roman" w:eastAsia="仿宋_GB2312" w:hAnsi="Times New Roman" w:cs="Times New Roman"/>
          <w:kern w:val="21"/>
          <w:sz w:val="32"/>
          <w:szCs w:val="32"/>
          <w:lang w:val="zh-CN"/>
        </w:rPr>
        <w:t>参照《工程量清单计价规范</w:t>
      </w:r>
      <w:r>
        <w:rPr>
          <w:rFonts w:ascii="Times New Roman" w:eastAsia="仿宋_GB2312" w:hAnsi="Times New Roman" w:cs="Times New Roman"/>
          <w:kern w:val="21"/>
          <w:sz w:val="32"/>
          <w:szCs w:val="32"/>
          <w:lang w:val="zh-CN"/>
        </w:rPr>
        <w:t xml:space="preserve"> GB50500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》</w:t>
      </w:r>
      <w:r>
        <w:rPr>
          <w:rFonts w:ascii="Times New Roman" w:eastAsia="仿宋_GB2312" w:hAnsi="Times New Roman" w:cs="Times New Roman"/>
          <w:kern w:val="21"/>
          <w:sz w:val="32"/>
          <w:szCs w:val="32"/>
          <w:lang w:val="zh-CN"/>
        </w:rPr>
        <w:t>，《关于重新调整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kern w:val="21"/>
          <w:sz w:val="32"/>
          <w:szCs w:val="32"/>
          <w:lang w:val="zh-CN"/>
        </w:rPr>
        <w:t>建筑业营业税改征增值税四川省建设工程计价依据调整办法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&gt;</w:t>
      </w:r>
      <w:r>
        <w:rPr>
          <w:rFonts w:ascii="Times New Roman" w:eastAsia="仿宋_GB2312" w:hAnsi="Times New Roman" w:cs="Times New Roman"/>
          <w:kern w:val="21"/>
          <w:sz w:val="32"/>
          <w:szCs w:val="32"/>
          <w:lang w:val="zh-CN"/>
        </w:rPr>
        <w:t>的通知》（川建造价发〔</w:t>
      </w:r>
      <w:r>
        <w:rPr>
          <w:rFonts w:ascii="Times New Roman" w:eastAsia="仿宋_GB2312" w:hAnsi="Times New Roman" w:cs="Times New Roman"/>
          <w:kern w:val="21"/>
          <w:sz w:val="32"/>
          <w:szCs w:val="32"/>
          <w:lang w:val="zh-CN"/>
        </w:rPr>
        <w:t>2019</w:t>
      </w:r>
      <w:r>
        <w:rPr>
          <w:rFonts w:ascii="Times New Roman" w:eastAsia="仿宋_GB2312" w:hAnsi="Times New Roman" w:cs="Times New Roman"/>
          <w:kern w:val="21"/>
          <w:sz w:val="32"/>
          <w:szCs w:val="32"/>
          <w:lang w:val="zh-CN"/>
        </w:rPr>
        <w:t>〕</w:t>
      </w:r>
      <w:r>
        <w:rPr>
          <w:rFonts w:ascii="Times New Roman" w:eastAsia="仿宋_GB2312" w:hAnsi="Times New Roman" w:cs="Times New Roman"/>
          <w:kern w:val="21"/>
          <w:sz w:val="32"/>
          <w:szCs w:val="32"/>
          <w:lang w:val="zh-CN"/>
        </w:rPr>
        <w:t>181</w:t>
      </w:r>
      <w:r>
        <w:rPr>
          <w:rFonts w:ascii="Times New Roman" w:eastAsia="仿宋_GB2312" w:hAnsi="Times New Roman" w:cs="Times New Roman"/>
          <w:kern w:val="21"/>
          <w:sz w:val="32"/>
          <w:szCs w:val="32"/>
          <w:lang w:val="zh-CN"/>
        </w:rPr>
        <w:lastRenderedPageBreak/>
        <w:t>号）；材料预算价格参照《四川工程造价信息》</w:t>
      </w:r>
      <w:r>
        <w:rPr>
          <w:rFonts w:ascii="Times New Roman" w:eastAsia="仿宋_GB2312" w:hAnsi="Times New Roman" w:cs="Times New Roman"/>
          <w:kern w:val="21"/>
          <w:sz w:val="32"/>
          <w:szCs w:val="32"/>
          <w:lang w:val="zh-CN"/>
        </w:rPr>
        <w:t>202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21"/>
          <w:sz w:val="32"/>
          <w:szCs w:val="32"/>
          <w:lang w:val="zh-CN"/>
        </w:rPr>
        <w:t>年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21"/>
          <w:sz w:val="32"/>
          <w:szCs w:val="32"/>
          <w:lang w:val="zh-CN"/>
        </w:rPr>
        <w:t>期成都市信息价格。</w:t>
      </w:r>
    </w:p>
    <w:p w14:paraId="5507FA8C" w14:textId="77777777" w:rsidR="0065101B" w:rsidRDefault="0065101B" w:rsidP="0065101B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21"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21"/>
          <w:sz w:val="32"/>
          <w:szCs w:val="32"/>
          <w:lang w:val="zh-CN"/>
        </w:rPr>
        <w:t>综合单价包含所有人工、机械设备、材料、安装和其它完成该项工程</w:t>
      </w:r>
      <w:proofErr w:type="gramStart"/>
      <w:r>
        <w:rPr>
          <w:rFonts w:ascii="Times New Roman" w:eastAsia="仿宋_GB2312" w:hAnsi="Times New Roman" w:cs="Times New Roman"/>
          <w:kern w:val="21"/>
          <w:sz w:val="32"/>
          <w:szCs w:val="32"/>
          <w:lang w:val="zh-CN"/>
        </w:rPr>
        <w:t>需发生</w:t>
      </w:r>
      <w:proofErr w:type="gramEnd"/>
      <w:r>
        <w:rPr>
          <w:rFonts w:ascii="Times New Roman" w:eastAsia="仿宋_GB2312" w:hAnsi="Times New Roman" w:cs="Times New Roman"/>
          <w:kern w:val="21"/>
          <w:sz w:val="32"/>
          <w:szCs w:val="32"/>
          <w:lang w:val="zh-CN"/>
        </w:rPr>
        <w:t>的所有费用。</w:t>
      </w:r>
    </w:p>
    <w:p w14:paraId="2E23A427" w14:textId="77777777" w:rsidR="0065101B" w:rsidRDefault="0065101B" w:rsidP="0065101B">
      <w:pPr>
        <w:pStyle w:val="a9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综合单价与成都市差异较大的地区，可参考四川省材料价格信息上报及发布系统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http://202.61.90.35:8032/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的本地当月相关信息。</w:t>
      </w:r>
    </w:p>
    <w:p w14:paraId="399F1EE1" w14:textId="77777777" w:rsidR="00332474" w:rsidRPr="0065101B" w:rsidRDefault="00332474"/>
    <w:sectPr w:rsidR="00332474" w:rsidRPr="0065101B" w:rsidSect="00DC7FF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91CD" w14:textId="77777777" w:rsidR="000A4E2F" w:rsidRDefault="000A4E2F" w:rsidP="0065101B">
      <w:r>
        <w:separator/>
      </w:r>
    </w:p>
  </w:endnote>
  <w:endnote w:type="continuationSeparator" w:id="0">
    <w:p w14:paraId="6BD19CFC" w14:textId="77777777" w:rsidR="000A4E2F" w:rsidRDefault="000A4E2F" w:rsidP="0065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B485" w14:textId="77777777" w:rsidR="000A4E2F" w:rsidRDefault="000A4E2F" w:rsidP="0065101B">
      <w:r>
        <w:separator/>
      </w:r>
    </w:p>
  </w:footnote>
  <w:footnote w:type="continuationSeparator" w:id="0">
    <w:p w14:paraId="2F50636D" w14:textId="77777777" w:rsidR="000A4E2F" w:rsidRDefault="000A4E2F" w:rsidP="00651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1A"/>
    <w:rsid w:val="000A4E2F"/>
    <w:rsid w:val="00332474"/>
    <w:rsid w:val="0065101B"/>
    <w:rsid w:val="0070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AFB669-FE88-4EF4-AE16-4A606070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0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01B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65101B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65101B"/>
  </w:style>
  <w:style w:type="paragraph" w:styleId="a9">
    <w:name w:val="Body Text First Indent"/>
    <w:basedOn w:val="a7"/>
    <w:link w:val="aa"/>
    <w:uiPriority w:val="99"/>
    <w:unhideWhenUsed/>
    <w:rsid w:val="0065101B"/>
    <w:pPr>
      <w:ind w:firstLineChars="100" w:firstLine="420"/>
    </w:pPr>
  </w:style>
  <w:style w:type="character" w:customStyle="1" w:styleId="aa">
    <w:name w:val="正文文本首行缩进 字符"/>
    <w:basedOn w:val="a8"/>
    <w:link w:val="a9"/>
    <w:uiPriority w:val="99"/>
    <w:rsid w:val="0065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NYNCJ</dc:creator>
  <cp:keywords/>
  <dc:description/>
  <cp:lastModifiedBy>NYNCJ</cp:lastModifiedBy>
  <cp:revision>2</cp:revision>
  <dcterms:created xsi:type="dcterms:W3CDTF">2022-06-08T08:11:00Z</dcterms:created>
  <dcterms:modified xsi:type="dcterms:W3CDTF">2022-06-08T08:11:00Z</dcterms:modified>
</cp:coreProperties>
</file>