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94" w:lineRule="exact"/>
        <w:jc w:val="both"/>
        <w:rPr>
          <w:rFonts w:ascii="仿宋" w:hAnsi="仿宋" w:eastAsia="黑体" w:cs="黑体"/>
          <w:lang w:eastAsia="zh-CN"/>
        </w:rPr>
      </w:pPr>
      <w:r>
        <w:rPr>
          <w:rFonts w:hint="eastAsia" w:ascii="黑体" w:hAnsi="黑体" w:eastAsia="黑体" w:cs="黑体"/>
          <w:lang w:eastAsia="zh-CN"/>
        </w:rPr>
        <w:t>附件3</w:t>
      </w:r>
      <w:bookmarkStart w:id="0" w:name="_GoBack"/>
      <w:bookmarkEnd w:id="0"/>
    </w:p>
    <w:p>
      <w:pPr>
        <w:widowControl/>
        <w:spacing w:line="54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四川省慢性病综合防控示范区建设指标体系（2023年版）</w:t>
      </w:r>
    </w:p>
    <w:tbl>
      <w:tblPr>
        <w:tblStyle w:val="10"/>
        <w:tblW w:w="14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6"/>
        <w:gridCol w:w="1457"/>
        <w:gridCol w:w="3075"/>
        <w:gridCol w:w="7755"/>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4" w:hRule="atLeast"/>
          <w:tblHeader/>
          <w:jc w:val="center"/>
        </w:trPr>
        <w:tc>
          <w:tcPr>
            <w:tcW w:w="1136" w:type="dxa"/>
            <w:vAlign w:val="center"/>
          </w:tcPr>
          <w:p>
            <w:pPr>
              <w:widowControl/>
              <w:suppressAutoHyphens/>
              <w:jc w:val="center"/>
              <w:textAlignment w:val="center"/>
              <w:rPr>
                <w:rFonts w:ascii="仿宋" w:hAnsi="仿宋" w:eastAsia="黑体" w:cs="仿宋_GB2312"/>
                <w:sz w:val="24"/>
              </w:rPr>
            </w:pPr>
            <w:r>
              <w:rPr>
                <w:rFonts w:hint="eastAsia" w:ascii="仿宋" w:hAnsi="仿宋" w:eastAsia="黑体" w:cs="仿宋_GB2312"/>
                <w:sz w:val="24"/>
              </w:rPr>
              <w:t>指标分类</w:t>
            </w:r>
          </w:p>
        </w:tc>
        <w:tc>
          <w:tcPr>
            <w:tcW w:w="1457" w:type="dxa"/>
            <w:vAlign w:val="center"/>
          </w:tcPr>
          <w:p>
            <w:pPr>
              <w:widowControl/>
              <w:suppressAutoHyphens/>
              <w:jc w:val="center"/>
              <w:textAlignment w:val="center"/>
              <w:rPr>
                <w:rFonts w:ascii="仿宋" w:hAnsi="仿宋" w:eastAsia="黑体" w:cs="仿宋_GB2312"/>
                <w:sz w:val="24"/>
              </w:rPr>
            </w:pPr>
            <w:r>
              <w:rPr>
                <w:rFonts w:hint="eastAsia" w:ascii="仿宋" w:hAnsi="仿宋" w:eastAsia="黑体" w:cs="仿宋_GB2312"/>
                <w:sz w:val="24"/>
              </w:rPr>
              <w:t>指标内容</w:t>
            </w:r>
          </w:p>
        </w:tc>
        <w:tc>
          <w:tcPr>
            <w:tcW w:w="3075" w:type="dxa"/>
            <w:vAlign w:val="center"/>
          </w:tcPr>
          <w:p>
            <w:pPr>
              <w:widowControl/>
              <w:suppressAutoHyphens/>
              <w:jc w:val="center"/>
              <w:textAlignment w:val="center"/>
              <w:rPr>
                <w:rFonts w:ascii="仿宋" w:hAnsi="仿宋" w:eastAsia="黑体" w:cs="仿宋_GB2312"/>
                <w:sz w:val="24"/>
              </w:rPr>
            </w:pPr>
            <w:r>
              <w:rPr>
                <w:rFonts w:hint="eastAsia" w:ascii="仿宋" w:hAnsi="仿宋" w:eastAsia="黑体" w:cs="仿宋_GB2312"/>
                <w:sz w:val="24"/>
              </w:rPr>
              <w:t>指标要求</w:t>
            </w:r>
          </w:p>
        </w:tc>
        <w:tc>
          <w:tcPr>
            <w:tcW w:w="7755" w:type="dxa"/>
            <w:vAlign w:val="center"/>
          </w:tcPr>
          <w:p>
            <w:pPr>
              <w:widowControl/>
              <w:suppressAutoHyphens/>
              <w:jc w:val="center"/>
              <w:textAlignment w:val="center"/>
              <w:rPr>
                <w:rFonts w:ascii="仿宋" w:hAnsi="仿宋" w:eastAsia="黑体" w:cs="仿宋_GB2312"/>
                <w:sz w:val="24"/>
              </w:rPr>
            </w:pPr>
            <w:r>
              <w:rPr>
                <w:rFonts w:hint="eastAsia" w:ascii="仿宋" w:hAnsi="仿宋" w:eastAsia="黑体" w:cs="仿宋_GB2312"/>
                <w:sz w:val="24"/>
              </w:rPr>
              <w:t>赋分标准</w:t>
            </w:r>
          </w:p>
        </w:tc>
        <w:tc>
          <w:tcPr>
            <w:tcW w:w="1273" w:type="dxa"/>
            <w:vAlign w:val="center"/>
          </w:tcPr>
          <w:p>
            <w:pPr>
              <w:widowControl/>
              <w:suppressAutoHyphens/>
              <w:jc w:val="center"/>
              <w:textAlignment w:val="center"/>
              <w:rPr>
                <w:rFonts w:ascii="仿宋" w:hAnsi="仿宋" w:eastAsia="黑体" w:cs="仿宋_GB2312"/>
                <w:sz w:val="24"/>
              </w:rPr>
            </w:pPr>
            <w:r>
              <w:rPr>
                <w:rFonts w:hint="eastAsia" w:ascii="仿宋" w:hAnsi="仿宋" w:eastAsia="黑体" w:cs="仿宋_GB2312"/>
                <w:sz w:val="24"/>
              </w:rPr>
              <w:t>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一、政策</w:t>
            </w:r>
          </w:p>
          <w:p>
            <w:pPr>
              <w:widowControl/>
              <w:suppressAutoHyphens/>
              <w:jc w:val="center"/>
              <w:textAlignment w:val="center"/>
              <w:rPr>
                <w:rFonts w:ascii="仿宋" w:hAnsi="仿宋"/>
                <w:sz w:val="24"/>
              </w:rPr>
            </w:pPr>
            <w:r>
              <w:rPr>
                <w:rFonts w:hint="eastAsia" w:ascii="仿宋" w:hAnsi="仿宋"/>
                <w:sz w:val="24"/>
              </w:rPr>
              <w:t>发展</w:t>
            </w:r>
          </w:p>
          <w:p>
            <w:pPr>
              <w:widowControl/>
              <w:suppressAutoHyphens/>
              <w:jc w:val="center"/>
              <w:textAlignment w:val="center"/>
              <w:rPr>
                <w:rFonts w:ascii="仿宋" w:hAnsi="仿宋" w:eastAsia="仿宋_GB2312" w:cs="仿宋_GB2312"/>
                <w:sz w:val="24"/>
              </w:rPr>
            </w:pPr>
            <w:r>
              <w:rPr>
                <w:rFonts w:hint="eastAsia" w:ascii="仿宋" w:hAnsi="仿宋"/>
                <w:sz w:val="24"/>
              </w:rPr>
              <w:t>（60分）</w:t>
            </w:r>
          </w:p>
        </w:tc>
        <w:tc>
          <w:tcPr>
            <w:tcW w:w="1457" w:type="dxa"/>
            <w:vMerge w:val="restart"/>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（一）发挥政府主导作用，建立多部门协作联动机制。</w:t>
            </w:r>
            <w:r>
              <w:rPr>
                <w:rFonts w:hint="eastAsia" w:ascii="仿宋" w:hAnsi="仿宋"/>
                <w:sz w:val="24"/>
              </w:rPr>
              <w:t>（18分）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1.辖区政府成立示范区建设领导小组，明确并落实部门职责，建立完善的信息反馈沟通制度。</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（1）成立辖区示范区建设领导小组，政府主要领导任组长；明确各部门职责，各得1分，共得2分。</w:t>
            </w:r>
          </w:p>
          <w:p>
            <w:pPr>
              <w:widowControl/>
              <w:suppressAutoHyphens/>
              <w:textAlignment w:val="top"/>
              <w:rPr>
                <w:rFonts w:ascii="仿宋" w:hAnsi="仿宋"/>
                <w:sz w:val="24"/>
                <w:lang w:eastAsia="zh-CN"/>
              </w:rPr>
            </w:pPr>
            <w:r>
              <w:rPr>
                <w:rFonts w:hint="eastAsia" w:ascii="仿宋" w:hAnsi="仿宋"/>
                <w:sz w:val="24"/>
                <w:lang w:eastAsia="zh-CN"/>
              </w:rPr>
              <w:t>（2）设立示范区建设工作办公室，得1分。</w:t>
            </w:r>
          </w:p>
          <w:p>
            <w:pPr>
              <w:widowControl/>
              <w:suppressAutoHyphens/>
              <w:textAlignment w:val="top"/>
              <w:rPr>
                <w:rFonts w:ascii="仿宋" w:hAnsi="仿宋"/>
                <w:sz w:val="24"/>
                <w:lang w:eastAsia="zh-CN"/>
              </w:rPr>
            </w:pPr>
            <w:r>
              <w:rPr>
                <w:rFonts w:hint="eastAsia" w:ascii="仿宋" w:hAnsi="仿宋"/>
                <w:sz w:val="24"/>
                <w:lang w:eastAsia="zh-CN"/>
              </w:rPr>
              <w:t>（3）建立多部门沟通协作机制，每年召开1次及以上领导小组工作会议，得1分。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（4）根据实际工作需要及时召开联络员会议，得1分。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6"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2.辖区政府将慢性病防控工作纳入当地政府经济社会发展规划。</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（1）将慢性病防控工作纳入政府社会经济发展规划，得2分。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（2）政府制定慢性病综合防控示范区建设实施方案，得1分。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98"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3.将慢性病防控融入各部门公共政策，包括烟草控制、减少有害饮酒、减盐、控油、控制体重、全民健身等慢性病危险因素干预、疾病管理相关政策和干预措施。</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抽查5个部门制定落实相关健康政策制定和落实情况。</w:t>
            </w:r>
          </w:p>
          <w:p>
            <w:pPr>
              <w:widowControl/>
              <w:numPr>
                <w:ilvl w:val="0"/>
                <w:numId w:val="1"/>
              </w:numPr>
              <w:suppressAutoHyphens/>
              <w:textAlignment w:val="top"/>
              <w:rPr>
                <w:rFonts w:ascii="仿宋" w:hAnsi="仿宋"/>
                <w:sz w:val="24"/>
                <w:lang w:eastAsia="zh-CN"/>
              </w:rPr>
            </w:pPr>
            <w:r>
              <w:rPr>
                <w:rFonts w:hint="eastAsia" w:ascii="仿宋" w:hAnsi="仿宋"/>
                <w:sz w:val="24"/>
                <w:lang w:eastAsia="zh-CN"/>
              </w:rPr>
              <w:t>制定并落实，每个部门得1分，共得5分。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（2）制定但没有落实，每个部门得0.5分。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9"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4.示范区建设领导小组建立工作督导制度，开展示范区建设的多部门联合调研和督导。</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（1）辖区政府主导，每年组织2次由5个及以上部门参与的联合督导，每次得1分，共得2分；少于5个部门参与的，每次得0.5分。对于在政府主导下采用第三方督导的，每年组织2次，每次得1分。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（2）联合督导内容主要包括：部门合作建立的信息沟通共享、激励问责、质量控制等3个基本运行机制情况，每个机制得1分。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5" w:hRule="atLeast"/>
          <w:jc w:val="center"/>
        </w:trPr>
        <w:tc>
          <w:tcPr>
            <w:tcW w:w="1136" w:type="dxa"/>
            <w:vMerge w:val="continue"/>
            <w:vAlign w:val="center"/>
          </w:tcPr>
          <w:p>
            <w:pPr>
              <w:suppressAutoHyphens/>
              <w:rPr>
                <w:rFonts w:ascii="仿宋" w:hAnsi="仿宋" w:eastAsia="仿宋_GB2312" w:cs="仿宋_GB2312"/>
                <w:sz w:val="24"/>
              </w:rPr>
            </w:pPr>
          </w:p>
        </w:tc>
        <w:tc>
          <w:tcPr>
            <w:tcW w:w="1457" w:type="dxa"/>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（二）保障慢性病防控经费。</w:t>
            </w:r>
            <w:r>
              <w:rPr>
                <w:rFonts w:hint="eastAsia" w:ascii="仿宋" w:hAnsi="仿宋"/>
                <w:sz w:val="24"/>
              </w:rPr>
              <w:t>（10分）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1.将慢性病防控相关工作经费纳入政府对各部门的年度预算、决算管理。</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（1）将慢性病防控相关工作经费纳入政府预算、决算管理，各得1分，共得2分。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（2）经费预算执行率100%，得2分；执行率80%-100%，得分=实际执行金额/预算资金总额×100%；执行率低于80%，不得分。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0"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一、政策</w:t>
            </w:r>
          </w:p>
          <w:p>
            <w:pPr>
              <w:widowControl/>
              <w:suppressAutoHyphens/>
              <w:jc w:val="center"/>
              <w:textAlignment w:val="center"/>
              <w:rPr>
                <w:rFonts w:ascii="仿宋" w:hAnsi="仿宋"/>
                <w:sz w:val="24"/>
              </w:rPr>
            </w:pPr>
            <w:r>
              <w:rPr>
                <w:rFonts w:hint="eastAsia" w:ascii="仿宋" w:hAnsi="仿宋"/>
                <w:sz w:val="24"/>
              </w:rPr>
              <w:t>发展</w:t>
            </w:r>
          </w:p>
          <w:p>
            <w:pPr>
              <w:suppressAutoHyphens/>
              <w:jc w:val="center"/>
              <w:rPr>
                <w:rFonts w:ascii="仿宋" w:hAnsi="仿宋" w:eastAsia="仿宋_GB2312" w:cs="仿宋_GB2312"/>
                <w:sz w:val="24"/>
              </w:rPr>
            </w:pPr>
            <w:r>
              <w:rPr>
                <w:rFonts w:hint="eastAsia" w:ascii="仿宋" w:hAnsi="仿宋"/>
                <w:sz w:val="24"/>
              </w:rPr>
              <w:t>（60分）</w:t>
            </w:r>
          </w:p>
        </w:tc>
        <w:tc>
          <w:tcPr>
            <w:tcW w:w="1457" w:type="dxa"/>
            <w:vMerge w:val="restart"/>
            <w:vAlign w:val="center"/>
          </w:tcPr>
          <w:p>
            <w:pPr>
              <w:suppressAutoHyphens/>
              <w:rPr>
                <w:rFonts w:ascii="仿宋" w:hAnsi="仿宋" w:eastAsia="仿宋_GB2312" w:cs="仿宋_GB2312"/>
                <w:sz w:val="24"/>
                <w:lang w:eastAsia="zh-CN"/>
              </w:rPr>
            </w:pPr>
            <w:r>
              <w:rPr>
                <w:rFonts w:hint="eastAsia" w:ascii="仿宋" w:hAnsi="仿宋"/>
                <w:sz w:val="24"/>
                <w:lang w:eastAsia="zh-CN"/>
              </w:rPr>
              <w:t>（二）保障慢性病防控经费。</w:t>
            </w:r>
            <w:r>
              <w:rPr>
                <w:rFonts w:hint="eastAsia" w:ascii="仿宋" w:hAnsi="仿宋"/>
                <w:sz w:val="24"/>
              </w:rPr>
              <w:t>（10分</w:t>
            </w:r>
            <w:r>
              <w:rPr>
                <w:rFonts w:hint="eastAsia" w:ascii="仿宋" w:hAnsi="仿宋" w:cs="仿宋_GB2312"/>
                <w:sz w:val="24"/>
                <w:lang w:eastAsia="zh-CN"/>
              </w:rPr>
              <w:t>）</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2.辖区政府按规划、计划提供示范区建设专项工作经费，专款专用。</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（1）辖区财政部门将预算的专项全额经费拨付至相关部门（单位），得3分；拨付80%-100%，得分=实际拨付金额/预算资金总额×100%；拨付低于80%，不得分。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（2）慢性病防控经费专项管理，确保专款专用，得2分。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2"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3.常态化保障疾病预防控制机构的慢性病防控工作经费。</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常态化慢性病防控工作经费占疾病预防控制机构业务总经费的比例高于10%，得1分，5%</w:t>
            </w:r>
            <w:r>
              <w:rPr>
                <w:rFonts w:hint="eastAsia" w:ascii="仿宋" w:hAnsi="仿宋" w:cs="仿宋_GB2312"/>
                <w:sz w:val="24"/>
                <w:lang w:eastAsia="zh-CN"/>
              </w:rPr>
              <w:t>—</w:t>
            </w:r>
            <w:r>
              <w:rPr>
                <w:rFonts w:hint="eastAsia" w:ascii="仿宋" w:hAnsi="仿宋"/>
                <w:sz w:val="24"/>
                <w:lang w:eastAsia="zh-CN"/>
              </w:rPr>
              <w:t>10%，得0.5分。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7"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restart"/>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（三）建立有效的绩效管理及评价机制。</w:t>
            </w:r>
            <w:r>
              <w:rPr>
                <w:rFonts w:hint="eastAsia" w:ascii="仿宋" w:hAnsi="仿宋"/>
                <w:sz w:val="24"/>
              </w:rPr>
              <w:t>（11分）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1.辖区政府将示范区建设实施方案相关工作纳入各街道（乡镇）政府和相关部门年度目标绩效管理。</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（1）辖区政府将示范区建设工作纳入对各街道（乡镇）政府和相关部门的年度目标绩效管理，得2分。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（2）抽查5个街道（乡镇）政府或相关部门，2个及以上街道（乡镇）政府或部门没有纳入目标管理者不得分。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1"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2.辖区政府将示范区建设实施方案相关工作纳入各街道（乡镇）政府和各部门绩效考核，落实问责制。</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抽查5个街道（乡镇）政府或相关部门的职能科室，询问相关职责知晓与执行情况。履职合格率达100%，得5分。发现一个未全面履职，扣1分，扣完5分为止。</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6"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3.采用多种形式获取群众对辖区慢性病综合防控的参与度和满意度。</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采用多种形式获取群众对辖区慢性病综合防控的参与度和满意度，并形成相关评价报告，得4分。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4" w:hRule="atLeast"/>
          <w:jc w:val="center"/>
        </w:trPr>
        <w:tc>
          <w:tcPr>
            <w:tcW w:w="1136" w:type="dxa"/>
            <w:vMerge w:val="continue"/>
            <w:vAlign w:val="center"/>
          </w:tcPr>
          <w:p>
            <w:pPr>
              <w:widowControl/>
              <w:suppressAutoHyphens/>
              <w:jc w:val="center"/>
              <w:textAlignment w:val="center"/>
              <w:rPr>
                <w:rFonts w:ascii="仿宋" w:hAnsi="仿宋" w:eastAsia="仿宋_GB2312" w:cs="仿宋_GB2312"/>
                <w:sz w:val="24"/>
              </w:rPr>
            </w:pPr>
          </w:p>
        </w:tc>
        <w:tc>
          <w:tcPr>
            <w:tcW w:w="1457" w:type="dxa"/>
            <w:vMerge w:val="restart"/>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（四）辖区政府定期发布慢性病及社会影响因素状况报告。</w:t>
            </w:r>
            <w:r>
              <w:rPr>
                <w:rFonts w:hint="eastAsia" w:ascii="仿宋" w:hAnsi="仿宋"/>
                <w:sz w:val="24"/>
              </w:rPr>
              <w:t>（21分）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1.辖区政府定期发布慢性病及社会影响因素状况报告。</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（1）辖区政府定期发布慢性病及社会影响因素状况报告，得3分。</w:t>
            </w:r>
          </w:p>
          <w:p>
            <w:pPr>
              <w:widowControl/>
              <w:suppressAutoHyphens/>
              <w:textAlignment w:val="top"/>
              <w:rPr>
                <w:rFonts w:ascii="仿宋" w:hAnsi="仿宋" w:eastAsia="仿宋_GB2312" w:cs="仿宋_GB2312"/>
                <w:b/>
                <w:bCs/>
                <w:sz w:val="24"/>
                <w:lang w:eastAsia="zh-CN"/>
              </w:rPr>
            </w:pPr>
            <w:r>
              <w:rPr>
                <w:rFonts w:hint="eastAsia" w:ascii="仿宋" w:hAnsi="仿宋"/>
                <w:sz w:val="24"/>
                <w:lang w:eastAsia="zh-CN"/>
              </w:rPr>
              <w:t>（2）报告主要结果用于政府工作报告，得2分。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10" w:hRule="atLeast"/>
          <w:jc w:val="center"/>
        </w:trPr>
        <w:tc>
          <w:tcPr>
            <w:tcW w:w="1136" w:type="dxa"/>
            <w:vMerge w:val="continue"/>
            <w:vAlign w:val="center"/>
          </w:tcPr>
          <w:p>
            <w:pPr>
              <w:widowControl/>
              <w:suppressAutoHyphens/>
              <w:jc w:val="center"/>
              <w:textAlignment w:val="center"/>
              <w:rPr>
                <w:rFonts w:ascii="仿宋" w:hAnsi="仿宋" w:eastAsia="仿宋_GB2312" w:cs="仿宋_GB2312"/>
                <w:sz w:val="24"/>
              </w:rPr>
            </w:pPr>
          </w:p>
        </w:tc>
        <w:tc>
          <w:tcPr>
            <w:tcW w:w="1457" w:type="dxa"/>
            <w:vMerge w:val="continue"/>
            <w:vAlign w:val="center"/>
          </w:tcPr>
          <w:p>
            <w:pPr>
              <w:widowControl/>
              <w:suppressAutoHyphens/>
              <w:textAlignment w:val="center"/>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2.辖区居民健康状况优于全国平均水平。</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（1）重大慢性病过早死亡率5年下降≥10%，得8分；5%</w:t>
            </w:r>
            <w:r>
              <w:rPr>
                <w:rFonts w:hint="eastAsia" w:ascii="仿宋" w:hAnsi="仿宋" w:cs="仿宋_GB2312"/>
                <w:sz w:val="24"/>
                <w:lang w:eastAsia="zh-CN"/>
              </w:rPr>
              <w:t>—</w:t>
            </w:r>
            <w:r>
              <w:rPr>
                <w:rFonts w:hint="eastAsia" w:ascii="仿宋" w:hAnsi="仿宋"/>
                <w:sz w:val="24"/>
                <w:lang w:eastAsia="zh-CN"/>
              </w:rPr>
              <w:t xml:space="preserve">10%，得3分。                         </w:t>
            </w:r>
          </w:p>
          <w:p>
            <w:pPr>
              <w:widowControl/>
              <w:suppressAutoHyphens/>
              <w:textAlignment w:val="top"/>
              <w:rPr>
                <w:rFonts w:ascii="仿宋" w:hAnsi="仿宋"/>
                <w:sz w:val="24"/>
                <w:lang w:eastAsia="zh-CN"/>
              </w:rPr>
            </w:pPr>
            <w:r>
              <w:rPr>
                <w:rFonts w:hint="eastAsia" w:ascii="仿宋" w:hAnsi="仿宋"/>
                <w:sz w:val="24"/>
                <w:lang w:eastAsia="zh-CN"/>
              </w:rPr>
              <w:t>（2）心脑血管疾病标化死亡率降至205.1/10万及以下，得4分。205.1-209.7/10万，得2分；高于209.7/10万不得分。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（3）70岁及以下人群慢性呼吸系统疾病标化死亡率降至9.0/10万及以下，得4分；高于9.0/10万不得分。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12"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二、环境</w:t>
            </w:r>
          </w:p>
          <w:p>
            <w:pPr>
              <w:widowControl/>
              <w:suppressAutoHyphens/>
              <w:jc w:val="center"/>
              <w:textAlignment w:val="center"/>
              <w:rPr>
                <w:rFonts w:ascii="仿宋" w:hAnsi="仿宋"/>
                <w:sz w:val="24"/>
              </w:rPr>
            </w:pPr>
            <w:r>
              <w:rPr>
                <w:rFonts w:hint="eastAsia" w:ascii="仿宋" w:hAnsi="仿宋"/>
                <w:sz w:val="24"/>
              </w:rPr>
              <w:t>支持</w:t>
            </w:r>
          </w:p>
          <w:p>
            <w:pPr>
              <w:widowControl/>
              <w:suppressAutoHyphens/>
              <w:jc w:val="center"/>
              <w:textAlignment w:val="center"/>
              <w:rPr>
                <w:rFonts w:ascii="仿宋" w:hAnsi="仿宋" w:eastAsia="仿宋_GB2312" w:cs="仿宋_GB2312"/>
                <w:sz w:val="24"/>
              </w:rPr>
            </w:pPr>
            <w:r>
              <w:rPr>
                <w:rFonts w:hint="eastAsia" w:ascii="仿宋" w:hAnsi="仿宋"/>
                <w:sz w:val="24"/>
              </w:rPr>
              <w:t>（35分）</w:t>
            </w:r>
          </w:p>
        </w:tc>
        <w:tc>
          <w:tcPr>
            <w:tcW w:w="1457" w:type="dxa"/>
            <w:vMerge w:val="restart"/>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（一）实施健康细胞工程，构建全方位健康支持性环境。</w:t>
            </w:r>
            <w:r>
              <w:rPr>
                <w:rFonts w:hint="eastAsia" w:ascii="仿宋" w:hAnsi="仿宋"/>
                <w:sz w:val="24"/>
              </w:rPr>
              <w:t>（9分）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结合健康（卫生）城市（县城、街镇）建设，按照国家标准开展健康家庭、健康社区（村组）、健康单位（机关、企业）、健康学校、健康食堂（餐厅、酒店）、健康市场（超市、商场）等健康支持性环境建设，数量逐年增加。</w:t>
            </w:r>
          </w:p>
        </w:tc>
        <w:tc>
          <w:tcPr>
            <w:tcW w:w="7755" w:type="dxa"/>
            <w:vAlign w:val="center"/>
          </w:tcPr>
          <w:p>
            <w:pPr>
              <w:widowControl/>
              <w:suppressAutoHyphens/>
              <w:rPr>
                <w:rFonts w:ascii="仿宋" w:hAnsi="仿宋"/>
                <w:sz w:val="24"/>
                <w:lang w:eastAsia="zh-CN"/>
              </w:rPr>
            </w:pPr>
            <w:r>
              <w:rPr>
                <w:rFonts w:hint="eastAsia" w:ascii="仿宋" w:hAnsi="仿宋"/>
                <w:sz w:val="24"/>
                <w:lang w:eastAsia="zh-CN"/>
              </w:rPr>
              <w:t>（1）开展健康家庭评选活动的健康社区（村组）占辖区社区（村组）总数的30%及以上，得1分（每个社区至少评选10个健康家庭，不达标者酌情扣分）。</w:t>
            </w:r>
          </w:p>
          <w:p>
            <w:pPr>
              <w:widowControl/>
              <w:suppressAutoHyphens/>
              <w:rPr>
                <w:rFonts w:ascii="仿宋" w:hAnsi="仿宋"/>
                <w:sz w:val="24"/>
                <w:lang w:eastAsia="zh-CN"/>
              </w:rPr>
            </w:pPr>
            <w:r>
              <w:rPr>
                <w:rFonts w:hint="eastAsia" w:ascii="仿宋" w:hAnsi="仿宋"/>
                <w:sz w:val="24"/>
                <w:lang w:eastAsia="zh-CN"/>
              </w:rPr>
              <w:t>（2）健康单位（机关、企业）、健康学校、健康食堂（餐厅、酒店）、健康市场（超市、商场）每类不少于5个，每类得1分，共4分。每少1个扣0.5分；扣完4分为止。</w:t>
            </w:r>
          </w:p>
          <w:p>
            <w:pPr>
              <w:widowControl/>
              <w:suppressAutoHyphens/>
              <w:textAlignment w:val="top"/>
              <w:rPr>
                <w:rFonts w:ascii="仿宋" w:hAnsi="仿宋"/>
                <w:sz w:val="24"/>
                <w:lang w:eastAsia="zh-CN"/>
              </w:rPr>
            </w:pPr>
            <w:r>
              <w:rPr>
                <w:rFonts w:hint="eastAsia" w:ascii="仿宋" w:hAnsi="仿宋"/>
                <w:sz w:val="24"/>
                <w:lang w:eastAsia="zh-CN"/>
              </w:rPr>
              <w:t>（3）现场调研发现每类中有1个不达标，该类不得分。</w:t>
            </w:r>
          </w:p>
          <w:p>
            <w:pPr>
              <w:widowControl/>
              <w:suppressAutoHyphens/>
              <w:rPr>
                <w:rFonts w:ascii="仿宋" w:hAnsi="仿宋"/>
                <w:sz w:val="24"/>
                <w:lang w:eastAsia="zh-CN"/>
              </w:rPr>
            </w:pPr>
            <w:r>
              <w:rPr>
                <w:rFonts w:hint="eastAsia" w:ascii="仿宋" w:hAnsi="仿宋"/>
                <w:b/>
                <w:bCs/>
                <w:sz w:val="24"/>
                <w:lang w:eastAsia="zh-CN"/>
              </w:rPr>
              <w:t>复审</w:t>
            </w:r>
            <w:r>
              <w:rPr>
                <w:rFonts w:hint="eastAsia" w:ascii="仿宋" w:hAnsi="仿宋"/>
                <w:sz w:val="24"/>
                <w:lang w:eastAsia="zh-CN"/>
              </w:rPr>
              <w:t>：</w:t>
            </w:r>
          </w:p>
          <w:p>
            <w:pPr>
              <w:widowControl/>
              <w:suppressAutoHyphens/>
              <w:textAlignment w:val="top"/>
              <w:rPr>
                <w:rFonts w:ascii="仿宋" w:hAnsi="仿宋"/>
                <w:sz w:val="24"/>
                <w:lang w:eastAsia="zh-CN"/>
              </w:rPr>
            </w:pPr>
            <w:r>
              <w:rPr>
                <w:rFonts w:hint="eastAsia" w:ascii="仿宋" w:hAnsi="仿宋"/>
                <w:sz w:val="24"/>
                <w:lang w:eastAsia="zh-CN"/>
              </w:rPr>
              <w:t>（1）开展健康家庭评选活动的健康社区（村组）占辖区社区（村组）总数的比例每年递增2%或累积达到40%以上，得1分。</w:t>
            </w:r>
          </w:p>
          <w:p>
            <w:pPr>
              <w:widowControl/>
              <w:suppressAutoHyphens/>
              <w:rPr>
                <w:rFonts w:ascii="仿宋" w:hAnsi="仿宋"/>
                <w:sz w:val="24"/>
                <w:lang w:eastAsia="zh-CN"/>
              </w:rPr>
            </w:pPr>
            <w:r>
              <w:rPr>
                <w:rFonts w:hint="eastAsia" w:ascii="仿宋" w:hAnsi="仿宋"/>
                <w:sz w:val="24"/>
                <w:lang w:eastAsia="zh-CN"/>
              </w:rPr>
              <w:t>（2）健康单位（机关、企业）、健康学校、健康食堂（餐厅、酒店）、健康市场（超市、商场）每类每年增加2个或每类达到10个及以上，每类得1分，共4分。每年增加未达标者该类不得分.</w:t>
            </w:r>
          </w:p>
          <w:p>
            <w:pPr>
              <w:widowControl/>
              <w:suppressAutoHyphens/>
              <w:rPr>
                <w:rFonts w:ascii="仿宋" w:hAnsi="仿宋" w:eastAsia="仿宋_GB2312" w:cs="仿宋_GB2312"/>
                <w:sz w:val="24"/>
                <w:lang w:eastAsia="zh-CN"/>
              </w:rPr>
            </w:pPr>
            <w:r>
              <w:rPr>
                <w:rFonts w:hint="eastAsia" w:ascii="仿宋" w:hAnsi="仿宋"/>
                <w:sz w:val="24"/>
                <w:lang w:eastAsia="zh-CN"/>
              </w:rPr>
              <w:t>（3）现场调研发现每类中有1个不达标，该类不得分。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8"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2.按照国家标准开展健康主题公园、健康步道、健康小屋、健康街区等健康支持性环境建设，数量逐年增加。</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（1）健康主题公园、健康步道、健康小屋、健康街区、健康社团等，每建设1类得1分，共得4分。</w:t>
            </w:r>
          </w:p>
          <w:p>
            <w:pPr>
              <w:widowControl/>
              <w:suppressAutoHyphens/>
              <w:textAlignment w:val="top"/>
              <w:rPr>
                <w:rFonts w:ascii="仿宋" w:hAnsi="仿宋"/>
                <w:b/>
                <w:bCs/>
                <w:sz w:val="24"/>
                <w:lang w:eastAsia="zh-CN"/>
              </w:rPr>
            </w:pPr>
            <w:r>
              <w:rPr>
                <w:rFonts w:hint="eastAsia" w:ascii="仿宋" w:hAnsi="仿宋"/>
                <w:sz w:val="24"/>
                <w:lang w:eastAsia="zh-CN"/>
              </w:rPr>
              <w:t>（2）现场评估发现1个不达标，该类别不得分。</w:t>
            </w:r>
          </w:p>
          <w:p>
            <w:pPr>
              <w:widowControl/>
              <w:suppressAutoHyphens/>
              <w:textAlignment w:val="top"/>
              <w:rPr>
                <w:rFonts w:ascii="仿宋" w:hAnsi="仿宋"/>
                <w:sz w:val="24"/>
                <w:lang w:eastAsia="zh-CN"/>
              </w:rPr>
            </w:pPr>
            <w:r>
              <w:rPr>
                <w:rFonts w:hint="eastAsia" w:ascii="仿宋" w:hAnsi="仿宋"/>
                <w:b/>
                <w:bCs/>
                <w:sz w:val="24"/>
                <w:lang w:eastAsia="zh-CN"/>
              </w:rPr>
              <w:t>复审</w:t>
            </w:r>
            <w:r>
              <w:rPr>
                <w:rFonts w:hint="eastAsia" w:ascii="仿宋" w:hAnsi="仿宋"/>
                <w:sz w:val="24"/>
                <w:lang w:eastAsia="zh-CN"/>
              </w:rPr>
              <w:t>：</w:t>
            </w:r>
          </w:p>
          <w:p>
            <w:pPr>
              <w:widowControl/>
              <w:suppressAutoHyphens/>
              <w:textAlignment w:val="top"/>
              <w:rPr>
                <w:rFonts w:ascii="仿宋" w:hAnsi="仿宋"/>
                <w:sz w:val="24"/>
                <w:lang w:eastAsia="zh-CN"/>
              </w:rPr>
            </w:pPr>
            <w:r>
              <w:rPr>
                <w:rFonts w:hint="eastAsia" w:ascii="仿宋" w:hAnsi="仿宋"/>
                <w:sz w:val="24"/>
                <w:lang w:eastAsia="zh-CN"/>
              </w:rPr>
              <w:t xml:space="preserve">（1）健康主题公园、健康步道、健康小屋、健康街区、健康社团等数量逐年有增加或每类建设数量达到3个，每类得1分，共得4分。                     </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（2）现场评估发现1个不达标，该类别不得分。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45" w:hRule="atLeast"/>
          <w:jc w:val="center"/>
        </w:trPr>
        <w:tc>
          <w:tcPr>
            <w:tcW w:w="1136" w:type="dxa"/>
            <w:vMerge w:val="continue"/>
            <w:vAlign w:val="center"/>
          </w:tcPr>
          <w:p>
            <w:pPr>
              <w:tabs>
                <w:tab w:val="left" w:pos="307"/>
              </w:tabs>
              <w:suppressAutoHyphens/>
              <w:jc w:val="center"/>
              <w:rPr>
                <w:rFonts w:ascii="仿宋" w:hAnsi="仿宋" w:eastAsia="仿宋_GB2312" w:cs="仿宋_GB2312"/>
                <w:sz w:val="24"/>
              </w:rPr>
            </w:pPr>
          </w:p>
        </w:tc>
        <w:tc>
          <w:tcPr>
            <w:tcW w:w="1457" w:type="dxa"/>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（二）为群众提供方便、可及的自助式健康检测服务。</w:t>
            </w:r>
            <w:r>
              <w:rPr>
                <w:rFonts w:hint="eastAsia" w:ascii="仿宋" w:hAnsi="仿宋"/>
                <w:sz w:val="24"/>
              </w:rPr>
              <w:t>（3分）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1.社区卫生服务中心和乡镇卫生院设置自助式健康检测点（检测项目包括身高、体重、腰围、血压等），并提供个体化健康指导。</w:t>
            </w:r>
          </w:p>
        </w:tc>
        <w:tc>
          <w:tcPr>
            <w:tcW w:w="7755" w:type="dxa"/>
            <w:vAlign w:val="center"/>
          </w:tcPr>
          <w:p>
            <w:pPr>
              <w:suppressAutoHyphens/>
              <w:ind w:right="28"/>
              <w:rPr>
                <w:rFonts w:ascii="仿宋" w:hAnsi="仿宋"/>
                <w:spacing w:val="8"/>
                <w:sz w:val="24"/>
                <w:lang w:eastAsia="zh-CN"/>
              </w:rPr>
            </w:pPr>
            <w:r>
              <w:rPr>
                <w:rFonts w:hint="eastAsia" w:ascii="仿宋" w:hAnsi="仿宋" w:cs="仿宋_GB2312"/>
                <w:spacing w:val="21"/>
                <w:sz w:val="24"/>
                <w:lang w:eastAsia="zh-CN"/>
              </w:rPr>
              <w:t>（</w:t>
            </w:r>
            <w:r>
              <w:rPr>
                <w:rFonts w:hint="eastAsia" w:ascii="仿宋" w:hAnsi="仿宋"/>
                <w:spacing w:val="21"/>
                <w:sz w:val="24"/>
                <w:lang w:eastAsia="zh-CN"/>
              </w:rPr>
              <w:t>1）设置自助式健康检测点的</w:t>
            </w:r>
            <w:r>
              <w:rPr>
                <w:rFonts w:hint="eastAsia" w:ascii="仿宋" w:hAnsi="仿宋"/>
                <w:sz w:val="24"/>
                <w:lang w:eastAsia="zh-CN"/>
              </w:rPr>
              <w:t>社区卫生服务中心和乡镇卫生院</w:t>
            </w:r>
            <w:r>
              <w:rPr>
                <w:rFonts w:hint="eastAsia" w:ascii="仿宋" w:hAnsi="仿宋"/>
                <w:spacing w:val="21"/>
                <w:sz w:val="24"/>
                <w:lang w:eastAsia="zh-CN"/>
              </w:rPr>
              <w:t>覆盖率达100%，得1分；覆盖60%</w:t>
            </w:r>
            <w:r>
              <w:rPr>
                <w:rFonts w:hint="eastAsia" w:ascii="仿宋" w:hAnsi="仿宋" w:cs="仿宋_GB2312"/>
                <w:spacing w:val="21"/>
                <w:sz w:val="24"/>
                <w:lang w:eastAsia="zh-CN"/>
              </w:rPr>
              <w:t>—</w:t>
            </w:r>
            <w:r>
              <w:rPr>
                <w:rFonts w:hint="eastAsia" w:ascii="仿宋" w:hAnsi="仿宋"/>
                <w:spacing w:val="21"/>
                <w:sz w:val="24"/>
                <w:lang w:eastAsia="zh-CN"/>
              </w:rPr>
              <w:t>100%</w:t>
            </w:r>
            <w:r>
              <w:rPr>
                <w:rFonts w:hint="eastAsia" w:ascii="仿宋" w:hAnsi="仿宋"/>
                <w:spacing w:val="13"/>
                <w:sz w:val="24"/>
                <w:lang w:eastAsia="zh-CN"/>
              </w:rPr>
              <w:t>，得0.5分</w:t>
            </w:r>
            <w:r>
              <w:rPr>
                <w:rFonts w:hint="eastAsia" w:ascii="仿宋" w:hAnsi="仿宋"/>
                <w:spacing w:val="8"/>
                <w:sz w:val="24"/>
                <w:lang w:eastAsia="zh-CN"/>
              </w:rPr>
              <w:t>。</w:t>
            </w:r>
          </w:p>
          <w:p>
            <w:pPr>
              <w:suppressAutoHyphens/>
              <w:rPr>
                <w:rFonts w:ascii="仿宋" w:hAnsi="仿宋"/>
                <w:sz w:val="24"/>
                <w:lang w:eastAsia="zh-CN"/>
              </w:rPr>
            </w:pPr>
            <w:r>
              <w:rPr>
                <w:rFonts w:hint="eastAsia" w:ascii="仿宋" w:hAnsi="仿宋" w:cs="仿宋_GB2312"/>
                <w:spacing w:val="8"/>
                <w:sz w:val="24"/>
                <w:lang w:eastAsia="zh-CN"/>
              </w:rPr>
              <w:t>（</w:t>
            </w:r>
            <w:r>
              <w:rPr>
                <w:rFonts w:hint="eastAsia" w:ascii="仿宋" w:hAnsi="仿宋"/>
                <w:spacing w:val="8"/>
                <w:sz w:val="24"/>
                <w:lang w:eastAsia="zh-CN"/>
              </w:rPr>
              <w:t>2）检测结果进入健康档案，实现信息利用，得1分。</w:t>
            </w:r>
          </w:p>
          <w:p>
            <w:pPr>
              <w:widowControl/>
              <w:suppressAutoHyphens/>
              <w:textAlignment w:val="top"/>
              <w:rPr>
                <w:rFonts w:ascii="仿宋" w:hAnsi="仿宋" w:eastAsia="仿宋_GB2312" w:cs="仿宋_GB2312"/>
                <w:sz w:val="24"/>
                <w:lang w:eastAsia="zh-CN"/>
              </w:rPr>
            </w:pPr>
            <w:r>
              <w:rPr>
                <w:rFonts w:hint="eastAsia" w:ascii="仿宋" w:hAnsi="仿宋" w:cs="仿宋_GB2312"/>
                <w:spacing w:val="14"/>
                <w:sz w:val="24"/>
                <w:lang w:eastAsia="zh-CN"/>
              </w:rPr>
              <w:t>（</w:t>
            </w:r>
            <w:r>
              <w:rPr>
                <w:rFonts w:hint="eastAsia" w:ascii="仿宋" w:hAnsi="仿宋"/>
                <w:spacing w:val="14"/>
                <w:sz w:val="24"/>
                <w:lang w:eastAsia="zh-CN"/>
              </w:rPr>
              <w:t>3）提供个性化健康指导的机构比例≥50%，得1分；30%</w:t>
            </w:r>
            <w:r>
              <w:rPr>
                <w:rFonts w:hint="eastAsia" w:ascii="仿宋" w:hAnsi="仿宋" w:cs="仿宋_GB2312"/>
                <w:spacing w:val="14"/>
                <w:sz w:val="24"/>
                <w:lang w:eastAsia="zh-CN"/>
              </w:rPr>
              <w:t>—</w:t>
            </w:r>
            <w:r>
              <w:rPr>
                <w:rFonts w:hint="eastAsia" w:ascii="仿宋" w:hAnsi="仿宋"/>
                <w:spacing w:val="14"/>
                <w:sz w:val="24"/>
                <w:lang w:eastAsia="zh-CN"/>
              </w:rPr>
              <w:t>50%，得0.5分。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1" w:hRule="atLeast"/>
          <w:jc w:val="center"/>
        </w:trPr>
        <w:tc>
          <w:tcPr>
            <w:tcW w:w="1136" w:type="dxa"/>
            <w:vMerge w:val="restart"/>
            <w:vAlign w:val="center"/>
          </w:tcPr>
          <w:p>
            <w:pPr>
              <w:tabs>
                <w:tab w:val="left" w:pos="307"/>
              </w:tabs>
              <w:suppressAutoHyphens/>
              <w:jc w:val="center"/>
              <w:rPr>
                <w:rFonts w:ascii="仿宋" w:hAnsi="仿宋"/>
                <w:sz w:val="24"/>
              </w:rPr>
            </w:pPr>
            <w:r>
              <w:rPr>
                <w:rFonts w:hint="eastAsia" w:ascii="仿宋" w:hAnsi="仿宋"/>
                <w:sz w:val="24"/>
              </w:rPr>
              <w:t>二、环境</w:t>
            </w:r>
          </w:p>
          <w:p>
            <w:pPr>
              <w:tabs>
                <w:tab w:val="left" w:pos="307"/>
              </w:tabs>
              <w:suppressAutoHyphens/>
              <w:jc w:val="center"/>
              <w:rPr>
                <w:rFonts w:ascii="仿宋" w:hAnsi="仿宋"/>
                <w:sz w:val="24"/>
              </w:rPr>
            </w:pPr>
            <w:r>
              <w:rPr>
                <w:rFonts w:hint="eastAsia" w:ascii="仿宋" w:hAnsi="仿宋"/>
                <w:sz w:val="24"/>
              </w:rPr>
              <w:t>支持</w:t>
            </w:r>
          </w:p>
          <w:p>
            <w:pPr>
              <w:suppressAutoHyphens/>
              <w:jc w:val="center"/>
              <w:rPr>
                <w:rFonts w:ascii="仿宋" w:hAnsi="仿宋" w:eastAsia="仿宋_GB2312" w:cs="仿宋_GB2312"/>
                <w:sz w:val="24"/>
              </w:rPr>
            </w:pPr>
            <w:r>
              <w:rPr>
                <w:rFonts w:hint="eastAsia" w:ascii="仿宋" w:hAnsi="仿宋"/>
                <w:sz w:val="24"/>
              </w:rPr>
              <w:t>（35分）</w:t>
            </w:r>
          </w:p>
        </w:tc>
        <w:tc>
          <w:tcPr>
            <w:tcW w:w="1457" w:type="dxa"/>
            <w:vMerge w:val="restart"/>
            <w:vAlign w:val="center"/>
          </w:tcPr>
          <w:p>
            <w:pPr>
              <w:widowControl/>
              <w:suppressAutoHyphens/>
              <w:textAlignment w:val="center"/>
              <w:rPr>
                <w:rFonts w:ascii="仿宋" w:hAnsi="仿宋"/>
                <w:sz w:val="24"/>
                <w:lang w:eastAsia="zh-CN"/>
              </w:rPr>
            </w:pPr>
            <w:r>
              <w:rPr>
                <w:rFonts w:hint="eastAsia" w:ascii="仿宋" w:hAnsi="仿宋"/>
                <w:sz w:val="24"/>
                <w:lang w:eastAsia="zh-CN"/>
              </w:rPr>
              <w:t>（三）开展全民健身运动，普及公共体育设施，提高经常参加体育锻炼人口比例。</w:t>
            </w:r>
          </w:p>
          <w:p>
            <w:pPr>
              <w:widowControl/>
              <w:suppressAutoHyphens/>
              <w:textAlignment w:val="center"/>
              <w:rPr>
                <w:rFonts w:ascii="仿宋" w:hAnsi="仿宋" w:eastAsia="仿宋_GB2312" w:cs="仿宋_GB2312"/>
                <w:sz w:val="24"/>
              </w:rPr>
            </w:pPr>
            <w:r>
              <w:rPr>
                <w:rFonts w:hint="eastAsia" w:ascii="仿宋" w:hAnsi="仿宋"/>
                <w:sz w:val="24"/>
              </w:rPr>
              <w:t>（11分）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1.社区建设15分钟健身圈，居民健身设施完好，提高人均体育场地面积。</w:t>
            </w:r>
          </w:p>
        </w:tc>
        <w:tc>
          <w:tcPr>
            <w:tcW w:w="7755" w:type="dxa"/>
            <w:vAlign w:val="center"/>
          </w:tcPr>
          <w:p>
            <w:pPr>
              <w:suppressAutoHyphens/>
              <w:ind w:left="134"/>
              <w:rPr>
                <w:rFonts w:ascii="仿宋" w:hAnsi="仿宋"/>
                <w:sz w:val="24"/>
                <w:lang w:eastAsia="zh-CN"/>
              </w:rPr>
            </w:pPr>
            <w:r>
              <w:rPr>
                <w:rFonts w:hint="eastAsia" w:ascii="仿宋" w:hAnsi="仿宋"/>
                <w:sz w:val="24"/>
                <w:lang w:eastAsia="zh-CN"/>
              </w:rPr>
              <w:t>（1）社区15分钟健身圈/农村行政村体育设施覆盖率达到100%，且设备完好100%，各得0.5分。共得1分。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（2）人均体育场地面积达2平方米，得1分。</w:t>
            </w:r>
          </w:p>
        </w:tc>
        <w:tc>
          <w:tcPr>
            <w:tcW w:w="1273" w:type="dxa"/>
            <w:vAlign w:val="center"/>
          </w:tcPr>
          <w:p>
            <w:pPr>
              <w:widowControl/>
              <w:suppressAutoHyphens/>
              <w:jc w:val="center"/>
              <w:textAlignment w:val="top"/>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2"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2.公共体育场地、有条件的企事业和学校的体育场地免费或低收费向社区居民开放。</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（1）公共体育场地、设施免费或低收费开放比例100%，得1分。</w:t>
            </w:r>
          </w:p>
          <w:p>
            <w:pPr>
              <w:widowControl/>
              <w:suppressAutoHyphens/>
              <w:textAlignment w:val="top"/>
              <w:rPr>
                <w:rFonts w:ascii="仿宋" w:hAnsi="仿宋" w:eastAsia="仿宋_GB2312" w:cs="仿宋_GB2312"/>
                <w:sz w:val="24"/>
              </w:rPr>
            </w:pPr>
            <w:r>
              <w:rPr>
                <w:rFonts w:hint="eastAsia" w:ascii="仿宋" w:hAnsi="仿宋"/>
                <w:sz w:val="24"/>
                <w:lang w:eastAsia="zh-CN"/>
              </w:rPr>
              <w:t>（2）有条件的学校免费或低收费开放比例≥70%，得0.5分；有条件的其他企事业免费或低收费开放比例≥30%，得0.5分。</w:t>
            </w:r>
            <w:r>
              <w:rPr>
                <w:rFonts w:hint="eastAsia" w:ascii="仿宋" w:hAnsi="仿宋"/>
                <w:sz w:val="24"/>
              </w:rPr>
              <w:t>共得1分。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97"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3.机关、企事业单位开展工间健身活动，组织符合单位特点的健走、健身和竞赛活动。</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（1）开展工间健身活动单位覆盖率≥80%，得1分。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（2）机关、学校、企事业单位每年至少组织开展1次“健走天府·万步有约”等健走、健身竞赛活动，得1分。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4"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4.实施青少年体育活动促进计划。</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（1）中小学生每天校内体育活动时间不少于1小时的比例达到100%，得1 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（2）国家学生体质健康标准达标优良率≥50%，得1分。</w:t>
            </w:r>
          </w:p>
        </w:tc>
        <w:tc>
          <w:tcPr>
            <w:tcW w:w="1273" w:type="dxa"/>
            <w:vAlign w:val="center"/>
          </w:tcPr>
          <w:p>
            <w:pPr>
              <w:widowControl/>
              <w:suppressAutoHyphens/>
              <w:jc w:val="center"/>
              <w:textAlignment w:val="top"/>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0"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5.提高经常参加体育锻炼人口比例。</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经常参加体育锻炼人口比例≥40%，得1分；35%</w:t>
            </w:r>
            <w:r>
              <w:rPr>
                <w:rFonts w:hint="eastAsia" w:ascii="仿宋" w:hAnsi="仿宋" w:cs="仿宋_GB2312"/>
                <w:sz w:val="24"/>
                <w:lang w:eastAsia="zh-CN"/>
              </w:rPr>
              <w:t>—</w:t>
            </w:r>
            <w:r>
              <w:rPr>
                <w:rFonts w:hint="eastAsia" w:ascii="仿宋" w:hAnsi="仿宋"/>
                <w:sz w:val="24"/>
                <w:lang w:eastAsia="zh-CN"/>
              </w:rPr>
              <w:t xml:space="preserve">40%，得0.5分。                                                      </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0"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6.倡导科学运动，促进体卫融合。</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（1）开展运动处方师培训，为居民提供个性化运动处方，得1分。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（2）开展国民体质监测，并开展将其与医疗体检相结合试点工作的，得1分。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5"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restart"/>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（四）开展烟草控制，降低人群吸烟率。</w:t>
            </w:r>
            <w:r>
              <w:rPr>
                <w:rFonts w:hint="eastAsia" w:ascii="仿宋" w:hAnsi="仿宋"/>
                <w:sz w:val="24"/>
              </w:rPr>
              <w:t>（8分）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1.辖区室内公共场所、工作场所和公共交通工具设置禁止吸烟警语和标识。</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辖区100%的室内公共场所、工作场所和公共交通工具全面禁烟，设置禁止吸烟警语和标识，得2分；95%</w:t>
            </w:r>
            <w:r>
              <w:rPr>
                <w:rFonts w:hint="eastAsia" w:ascii="仿宋" w:hAnsi="仿宋" w:cs="仿宋_GB2312"/>
                <w:sz w:val="24"/>
                <w:lang w:eastAsia="zh-CN"/>
              </w:rPr>
              <w:t>—</w:t>
            </w:r>
            <w:r>
              <w:rPr>
                <w:rFonts w:hint="eastAsia" w:ascii="仿宋" w:hAnsi="仿宋"/>
                <w:sz w:val="24"/>
                <w:lang w:eastAsia="zh-CN"/>
              </w:rPr>
              <w:t>100%，得1分。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抽查发现1个单位不合格，该项不得分。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0"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rPr>
            </w:pPr>
            <w:r>
              <w:rPr>
                <w:rFonts w:hint="eastAsia" w:ascii="仿宋" w:hAnsi="仿宋"/>
                <w:sz w:val="24"/>
              </w:rPr>
              <w:t>2.禁止烟草广告。</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辖区未发现烟草广告，得1分。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7"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3.建设无烟党政机关、无烟医疗卫生机构、无烟学校。</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覆盖率均达100%，得1分。抽查发现1个单位不合格，该项不得分。</w:t>
            </w:r>
          </w:p>
        </w:tc>
        <w:tc>
          <w:tcPr>
            <w:tcW w:w="1273" w:type="dxa"/>
            <w:vAlign w:val="center"/>
          </w:tcPr>
          <w:p>
            <w:pPr>
              <w:widowControl/>
              <w:suppressAutoHyphens/>
              <w:jc w:val="center"/>
              <w:textAlignment w:val="top"/>
              <w:rPr>
                <w:rFonts w:ascii="仿宋" w:hAnsi="仿宋" w:eastAsia="仿宋_GB2312" w:cs="仿宋_GB2312"/>
                <w:sz w:val="24"/>
              </w:rPr>
            </w:pPr>
            <w:r>
              <w:rPr>
                <w:rFonts w:hint="eastAsia" w:ascii="仿宋" w:hAnsi="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2"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二、环境</w:t>
            </w:r>
          </w:p>
          <w:p>
            <w:pPr>
              <w:widowControl/>
              <w:suppressAutoHyphens/>
              <w:jc w:val="center"/>
              <w:textAlignment w:val="center"/>
              <w:rPr>
                <w:rFonts w:ascii="仿宋" w:hAnsi="仿宋"/>
                <w:sz w:val="24"/>
              </w:rPr>
            </w:pPr>
            <w:r>
              <w:rPr>
                <w:rFonts w:hint="eastAsia" w:ascii="仿宋" w:hAnsi="仿宋"/>
                <w:sz w:val="24"/>
              </w:rPr>
              <w:t>支持</w:t>
            </w:r>
          </w:p>
          <w:p>
            <w:pPr>
              <w:suppressAutoHyphens/>
              <w:jc w:val="center"/>
              <w:rPr>
                <w:rFonts w:ascii="仿宋" w:hAnsi="仿宋" w:eastAsia="仿宋_GB2312" w:cs="仿宋_GB2312"/>
                <w:sz w:val="24"/>
              </w:rPr>
            </w:pPr>
            <w:r>
              <w:rPr>
                <w:rFonts w:hint="eastAsia" w:ascii="仿宋" w:hAnsi="仿宋"/>
                <w:sz w:val="24"/>
              </w:rPr>
              <w:t>（35分）</w:t>
            </w:r>
          </w:p>
        </w:tc>
        <w:tc>
          <w:tcPr>
            <w:tcW w:w="1457" w:type="dxa"/>
            <w:vMerge w:val="restart"/>
            <w:vAlign w:val="center"/>
          </w:tcPr>
          <w:p>
            <w:pPr>
              <w:suppressAutoHyphens/>
              <w:rPr>
                <w:rFonts w:ascii="仿宋" w:hAnsi="仿宋" w:eastAsia="仿宋_GB2312" w:cs="仿宋_GB2312"/>
                <w:sz w:val="24"/>
              </w:rPr>
            </w:pPr>
            <w:r>
              <w:rPr>
                <w:rFonts w:hint="eastAsia" w:ascii="仿宋" w:hAnsi="仿宋"/>
                <w:sz w:val="24"/>
                <w:lang w:eastAsia="zh-CN"/>
              </w:rPr>
              <w:t>（四）开展烟草控制，降低人群吸烟率。</w:t>
            </w:r>
            <w:r>
              <w:rPr>
                <w:rFonts w:hint="eastAsia" w:ascii="仿宋" w:hAnsi="仿宋"/>
                <w:sz w:val="24"/>
              </w:rPr>
              <w:t>（8分）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4.辖区各级医疗机构开展简短戒烟服务培训并提供简短戒烟服务。</w:t>
            </w:r>
          </w:p>
        </w:tc>
        <w:tc>
          <w:tcPr>
            <w:tcW w:w="7755" w:type="dxa"/>
            <w:vAlign w:val="center"/>
          </w:tcPr>
          <w:p>
            <w:pPr>
              <w:suppressAutoHyphens/>
              <w:ind w:left="53"/>
              <w:rPr>
                <w:rFonts w:ascii="仿宋" w:hAnsi="仿宋"/>
                <w:sz w:val="24"/>
                <w:lang w:eastAsia="zh-CN"/>
              </w:rPr>
            </w:pPr>
            <w:r>
              <w:rPr>
                <w:rFonts w:hint="eastAsia" w:ascii="仿宋" w:hAnsi="仿宋"/>
                <w:sz w:val="24"/>
                <w:lang w:eastAsia="zh-CN"/>
              </w:rPr>
              <w:t>（1）开展简短戒烟服务培训的医疗机构覆盖率≥80%，得1分。</w:t>
            </w:r>
          </w:p>
          <w:p>
            <w:pPr>
              <w:widowControl/>
              <w:suppressAutoHyphens/>
              <w:textAlignment w:val="top"/>
              <w:rPr>
                <w:rFonts w:ascii="仿宋" w:hAnsi="仿宋"/>
                <w:sz w:val="24"/>
                <w:lang w:eastAsia="zh-CN"/>
              </w:rPr>
            </w:pPr>
            <w:r>
              <w:rPr>
                <w:rFonts w:hint="eastAsia" w:ascii="仿宋" w:hAnsi="仿宋"/>
                <w:sz w:val="24"/>
                <w:lang w:eastAsia="zh-CN"/>
              </w:rPr>
              <w:t>（2）提供简短戒烟服务的医疗机构覆盖率100%，得1分。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医疗机构包括辖区内的一、二、三级综合性医院和妇幼保健院。</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2"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5.降低辖区15岁及以上人群吸烟率。</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15岁及以上人群吸烟率低于20%，得2分；20%</w:t>
            </w:r>
            <w:r>
              <w:rPr>
                <w:rFonts w:hint="eastAsia" w:ascii="仿宋" w:hAnsi="仿宋" w:cs="仿宋_GB2312"/>
                <w:sz w:val="24"/>
                <w:lang w:eastAsia="zh-CN"/>
              </w:rPr>
              <w:t>—</w:t>
            </w:r>
            <w:r>
              <w:rPr>
                <w:rFonts w:hint="eastAsia" w:ascii="仿宋" w:hAnsi="仿宋"/>
                <w:sz w:val="24"/>
                <w:lang w:eastAsia="zh-CN"/>
              </w:rPr>
              <w:t>25%，得1分；≥25%，不得分。</w:t>
            </w:r>
          </w:p>
          <w:p>
            <w:pPr>
              <w:widowControl/>
              <w:suppressAutoHyphens/>
              <w:textAlignment w:val="top"/>
              <w:rPr>
                <w:rFonts w:ascii="仿宋" w:hAnsi="仿宋" w:eastAsia="仿宋_GB2312" w:cs="仿宋_GB2312"/>
                <w:sz w:val="24"/>
                <w:lang w:eastAsia="zh-CN"/>
              </w:rPr>
            </w:pPr>
            <w:r>
              <w:rPr>
                <w:rFonts w:hint="eastAsia" w:ascii="仿宋" w:hAnsi="仿宋"/>
                <w:b/>
                <w:bCs/>
                <w:sz w:val="24"/>
                <w:lang w:eastAsia="zh-CN"/>
              </w:rPr>
              <w:t>复审：</w:t>
            </w:r>
            <w:r>
              <w:rPr>
                <w:rFonts w:hint="eastAsia" w:ascii="仿宋" w:hAnsi="仿宋"/>
                <w:sz w:val="24"/>
                <w:lang w:eastAsia="zh-CN"/>
              </w:rPr>
              <w:t>15岁及以上人群吸烟率逐年下降，5年降低10%以上，得2分；5年降低5%</w:t>
            </w:r>
            <w:r>
              <w:rPr>
                <w:rFonts w:hint="eastAsia" w:ascii="仿宋" w:hAnsi="仿宋" w:cs="仿宋_GB2312"/>
                <w:sz w:val="24"/>
                <w:lang w:eastAsia="zh-CN"/>
              </w:rPr>
              <w:t>—</w:t>
            </w:r>
            <w:r>
              <w:rPr>
                <w:rFonts w:hint="eastAsia" w:ascii="仿宋" w:hAnsi="仿宋"/>
                <w:sz w:val="24"/>
                <w:lang w:eastAsia="zh-CN"/>
              </w:rPr>
              <w:t>10%，得1分。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5"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Align w:val="center"/>
          </w:tcPr>
          <w:p>
            <w:pPr>
              <w:widowControl/>
              <w:suppressAutoHyphens/>
              <w:textAlignment w:val="top"/>
              <w:rPr>
                <w:rFonts w:ascii="仿宋" w:hAnsi="仿宋"/>
                <w:sz w:val="24"/>
              </w:rPr>
            </w:pPr>
            <w:r>
              <w:rPr>
                <w:rFonts w:hint="eastAsia" w:ascii="仿宋" w:hAnsi="仿宋"/>
                <w:sz w:val="24"/>
                <w:lang w:eastAsia="zh-CN"/>
              </w:rPr>
              <w:t>（五）加强社会健康综合治理。</w:t>
            </w:r>
            <w:r>
              <w:rPr>
                <w:rFonts w:hint="eastAsia" w:ascii="仿宋" w:hAnsi="仿宋"/>
                <w:sz w:val="24"/>
              </w:rPr>
              <w:t>（4分）</w:t>
            </w:r>
          </w:p>
          <w:p>
            <w:pPr>
              <w:widowControl/>
              <w:suppressAutoHyphens/>
              <w:textAlignment w:val="top"/>
              <w:rPr>
                <w:rFonts w:ascii="仿宋" w:hAnsi="仿宋" w:eastAsia="仿宋_GB2312" w:cs="仿宋_GB2312"/>
                <w:sz w:val="24"/>
              </w:rPr>
            </w:pPr>
          </w:p>
        </w:tc>
        <w:tc>
          <w:tcPr>
            <w:tcW w:w="3075" w:type="dxa"/>
            <w:vAlign w:val="center"/>
          </w:tcPr>
          <w:p>
            <w:pPr>
              <w:widowControl/>
              <w:suppressAutoHyphens/>
              <w:textAlignment w:val="top"/>
              <w:rPr>
                <w:rFonts w:ascii="仿宋" w:hAnsi="仿宋"/>
                <w:sz w:val="24"/>
                <w:lang w:eastAsia="zh-CN"/>
              </w:rPr>
            </w:pPr>
            <w:r>
              <w:rPr>
                <w:rFonts w:hint="eastAsia" w:ascii="仿宋" w:hAnsi="仿宋"/>
                <w:sz w:val="24"/>
                <w:lang w:eastAsia="zh-CN"/>
              </w:rPr>
              <w:t>1.完善城市健康公约、社区居民公约、村规民约，开展周末大扫除、卫生清洁日活动，推动爱国卫生运动融入群众日常生活。</w:t>
            </w:r>
          </w:p>
          <w:p>
            <w:pPr>
              <w:widowControl/>
              <w:suppressAutoHyphens/>
              <w:textAlignment w:val="top"/>
              <w:rPr>
                <w:rFonts w:ascii="仿宋" w:hAnsi="仿宋"/>
                <w:sz w:val="24"/>
                <w:lang w:eastAsia="zh-CN"/>
              </w:rPr>
            </w:pPr>
            <w:r>
              <w:rPr>
                <w:rFonts w:hint="eastAsia" w:ascii="仿宋" w:hAnsi="仿宋"/>
                <w:sz w:val="24"/>
                <w:lang w:eastAsia="zh-CN"/>
              </w:rPr>
              <w:t>2.在基层综治中心或城乡社区综合服务设施设置心理咨询室或社会工作室，并提供相关咨询服务。</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3.组建居民健康管理互助小组，鼓励、引导社区居民参与健康管理。</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（1）辖区制定有城市健康公约、社区居民公约、村规民约的，得1分。少1类，扣0.5分，扣完1分为止。</w:t>
            </w:r>
          </w:p>
          <w:p>
            <w:pPr>
              <w:widowControl/>
              <w:suppressAutoHyphens/>
              <w:textAlignment w:val="top"/>
              <w:rPr>
                <w:rFonts w:ascii="仿宋" w:hAnsi="仿宋"/>
                <w:sz w:val="24"/>
                <w:lang w:eastAsia="zh-CN"/>
              </w:rPr>
            </w:pPr>
            <w:r>
              <w:rPr>
                <w:rFonts w:hint="eastAsia" w:ascii="仿宋" w:hAnsi="仿宋"/>
                <w:sz w:val="24"/>
                <w:lang w:eastAsia="zh-CN"/>
              </w:rPr>
              <w:t>（2）开展周末大扫除、卫生清洁日活动，推动爱国卫生运动融入群众日常生活，得1分。无证据证明开展相关活动的，不得分。</w:t>
            </w:r>
          </w:p>
          <w:p>
            <w:pPr>
              <w:widowControl/>
              <w:suppressAutoHyphens/>
              <w:textAlignment w:val="top"/>
              <w:rPr>
                <w:rFonts w:ascii="仿宋" w:hAnsi="仿宋"/>
                <w:sz w:val="24"/>
                <w:lang w:eastAsia="zh-CN"/>
              </w:rPr>
            </w:pPr>
            <w:r>
              <w:rPr>
                <w:rFonts w:hint="eastAsia" w:ascii="仿宋" w:hAnsi="仿宋"/>
                <w:sz w:val="24"/>
                <w:lang w:eastAsia="zh-CN"/>
              </w:rPr>
              <w:t>（3）在基层综治中心或城乡社区综合服务设施中设置心理咨询室或社会工作室，得1分。无证据证明提供相关咨询服务的，不得分。</w:t>
            </w:r>
          </w:p>
          <w:p>
            <w:pPr>
              <w:widowControl/>
              <w:suppressAutoHyphens/>
              <w:textAlignment w:val="top"/>
              <w:rPr>
                <w:rFonts w:ascii="仿宋" w:hAnsi="仿宋" w:eastAsia="仿宋_GB2312" w:cs="仿宋_GB2312"/>
                <w:sz w:val="24"/>
                <w:highlight w:val="yellow"/>
              </w:rPr>
            </w:pPr>
            <w:r>
              <w:rPr>
                <w:rFonts w:hint="eastAsia" w:ascii="仿宋" w:hAnsi="仿宋"/>
                <w:sz w:val="24"/>
                <w:lang w:eastAsia="zh-CN"/>
              </w:rPr>
              <w:t>（4）以基层医疗卫生人员为主，社会工作者、物业服务人员、志愿者为辅，组建居民健康管理互助小组，鼓励、引导社区居民参与健康管理，得1分。</w:t>
            </w:r>
            <w:r>
              <w:rPr>
                <w:rFonts w:hint="eastAsia" w:ascii="仿宋" w:hAnsi="仿宋"/>
                <w:sz w:val="24"/>
              </w:rPr>
              <w:t>未组建或未开展工作，此项不得分。</w:t>
            </w:r>
          </w:p>
        </w:tc>
        <w:tc>
          <w:tcPr>
            <w:tcW w:w="1273" w:type="dxa"/>
            <w:vAlign w:val="center"/>
          </w:tcPr>
          <w:p>
            <w:pPr>
              <w:widowControl/>
              <w:suppressAutoHyphens/>
              <w:jc w:val="center"/>
              <w:textAlignment w:val="top"/>
              <w:rPr>
                <w:rFonts w:ascii="仿宋" w:hAnsi="仿宋" w:eastAsia="仿宋_GB2312" w:cs="仿宋_GB2312"/>
                <w:sz w:val="24"/>
              </w:rPr>
            </w:pPr>
            <w:r>
              <w:rPr>
                <w:rFonts w:hint="eastAsia" w:ascii="仿宋" w:hAnsi="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7" w:hRule="atLeast"/>
          <w:jc w:val="center"/>
        </w:trPr>
        <w:tc>
          <w:tcPr>
            <w:tcW w:w="1136" w:type="dxa"/>
            <w:vMerge w:val="restart"/>
            <w:vAlign w:val="center"/>
          </w:tcPr>
          <w:p>
            <w:pPr>
              <w:widowControl/>
              <w:suppressAutoHyphens/>
              <w:jc w:val="center"/>
              <w:textAlignment w:val="top"/>
              <w:rPr>
                <w:rFonts w:ascii="仿宋" w:hAnsi="仿宋"/>
                <w:sz w:val="24"/>
                <w:lang w:eastAsia="zh-CN"/>
              </w:rPr>
            </w:pPr>
            <w:r>
              <w:rPr>
                <w:rFonts w:hint="eastAsia" w:ascii="仿宋" w:hAnsi="仿宋"/>
                <w:sz w:val="24"/>
                <w:lang w:eastAsia="zh-CN"/>
              </w:rPr>
              <w:t>三、“三减三健”专项行动</w:t>
            </w:r>
          </w:p>
          <w:p>
            <w:pPr>
              <w:suppressAutoHyphens/>
              <w:jc w:val="center"/>
              <w:rPr>
                <w:rFonts w:ascii="仿宋" w:hAnsi="仿宋" w:eastAsia="仿宋_GB2312" w:cs="仿宋_GB2312"/>
                <w:sz w:val="24"/>
              </w:rPr>
            </w:pPr>
            <w:r>
              <w:rPr>
                <w:rFonts w:hint="eastAsia" w:ascii="仿宋" w:hAnsi="仿宋"/>
                <w:sz w:val="24"/>
              </w:rPr>
              <w:t>（20分）</w:t>
            </w:r>
          </w:p>
        </w:tc>
        <w:tc>
          <w:tcPr>
            <w:tcW w:w="1457" w:type="dxa"/>
            <w:vMerge w:val="restart"/>
            <w:vAlign w:val="center"/>
          </w:tcPr>
          <w:p>
            <w:pPr>
              <w:widowControl/>
              <w:suppressAutoHyphens/>
              <w:textAlignment w:val="top"/>
              <w:rPr>
                <w:rFonts w:ascii="仿宋" w:hAnsi="仿宋"/>
                <w:sz w:val="24"/>
                <w:lang w:eastAsia="zh-CN"/>
              </w:rPr>
            </w:pPr>
            <w:r>
              <w:rPr>
                <w:rFonts w:hint="eastAsia" w:ascii="仿宋" w:hAnsi="仿宋"/>
                <w:sz w:val="24"/>
                <w:lang w:eastAsia="zh-CN"/>
              </w:rPr>
              <w:t>（一）开展专题宣传。</w:t>
            </w:r>
          </w:p>
          <w:p>
            <w:pPr>
              <w:suppressAutoHyphens/>
              <w:rPr>
                <w:rFonts w:ascii="仿宋" w:hAnsi="仿宋" w:eastAsia="仿宋_GB2312" w:cs="仿宋_GB2312"/>
                <w:sz w:val="24"/>
                <w:lang w:eastAsia="zh-CN"/>
              </w:rPr>
            </w:pPr>
            <w:r>
              <w:rPr>
                <w:rFonts w:hint="eastAsia" w:ascii="仿宋" w:hAnsi="仿宋"/>
                <w:sz w:val="24"/>
                <w:lang w:eastAsia="zh-CN"/>
              </w:rPr>
              <w:t>（5分）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1.开展健康生活方式主题日（周）主题宣传（2分）。</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（1）开展健康生活方式日（周）系列宣传，得1分。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（2）开展全民营养周、中国减盐周、全国爱牙日、世界骨质疏松日等“三减三健”相关内容的专项宣传，得1分。</w:t>
            </w:r>
          </w:p>
        </w:tc>
        <w:tc>
          <w:tcPr>
            <w:tcW w:w="1273" w:type="dxa"/>
            <w:vAlign w:val="center"/>
          </w:tcPr>
          <w:p>
            <w:pPr>
              <w:widowControl/>
              <w:suppressAutoHyphens/>
              <w:jc w:val="center"/>
              <w:textAlignment w:val="top"/>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7"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2.利用传统媒体和新媒体开展健康生活方式的日常宣传（3分）。</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（1）充分利用传统媒体和新媒体等宣传方式，得1分。</w:t>
            </w:r>
          </w:p>
          <w:p>
            <w:pPr>
              <w:widowControl/>
              <w:suppressAutoHyphens/>
              <w:textAlignment w:val="top"/>
              <w:rPr>
                <w:rFonts w:ascii="仿宋" w:hAnsi="仿宋"/>
                <w:sz w:val="24"/>
                <w:lang w:eastAsia="zh-CN"/>
              </w:rPr>
            </w:pPr>
            <w:r>
              <w:rPr>
                <w:rFonts w:hint="eastAsia" w:ascii="仿宋" w:hAnsi="仿宋"/>
                <w:sz w:val="24"/>
                <w:lang w:eastAsia="zh-CN"/>
              </w:rPr>
              <w:t>（2）宣传内容覆盖“三减三健”各个方面，得1分。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（3）全年至少开展6次宣传，得1分。</w:t>
            </w:r>
          </w:p>
        </w:tc>
        <w:tc>
          <w:tcPr>
            <w:tcW w:w="1273" w:type="dxa"/>
            <w:vAlign w:val="center"/>
          </w:tcPr>
          <w:p>
            <w:pPr>
              <w:widowControl/>
              <w:suppressAutoHyphens/>
              <w:jc w:val="center"/>
              <w:textAlignment w:val="top"/>
              <w:rPr>
                <w:rFonts w:ascii="仿宋" w:hAnsi="仿宋" w:eastAsia="仿宋_GB2312" w:cs="仿宋_GB2312"/>
                <w:sz w:val="24"/>
              </w:rPr>
            </w:pPr>
            <w:r>
              <w:rPr>
                <w:rFonts w:hint="eastAsia" w:ascii="仿宋" w:hAnsi="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75" w:hRule="atLeast"/>
          <w:jc w:val="center"/>
        </w:trPr>
        <w:tc>
          <w:tcPr>
            <w:tcW w:w="1136" w:type="dxa"/>
            <w:vMerge w:val="restart"/>
            <w:vAlign w:val="center"/>
          </w:tcPr>
          <w:p>
            <w:pPr>
              <w:widowControl/>
              <w:suppressAutoHyphens/>
              <w:jc w:val="center"/>
              <w:textAlignment w:val="top"/>
              <w:rPr>
                <w:rFonts w:ascii="仿宋" w:hAnsi="仿宋"/>
                <w:sz w:val="24"/>
                <w:lang w:eastAsia="zh-CN"/>
              </w:rPr>
            </w:pPr>
            <w:r>
              <w:rPr>
                <w:rFonts w:hint="eastAsia" w:ascii="仿宋" w:hAnsi="仿宋"/>
                <w:sz w:val="24"/>
                <w:lang w:eastAsia="zh-CN"/>
              </w:rPr>
              <w:t>三、“三减三健”专项行动</w:t>
            </w:r>
          </w:p>
          <w:p>
            <w:pPr>
              <w:suppressAutoHyphens/>
              <w:jc w:val="center"/>
              <w:rPr>
                <w:rFonts w:ascii="仿宋" w:hAnsi="仿宋" w:eastAsia="仿宋_GB2312" w:cs="仿宋_GB2312"/>
                <w:sz w:val="24"/>
              </w:rPr>
            </w:pPr>
            <w:r>
              <w:rPr>
                <w:rFonts w:hint="eastAsia" w:ascii="仿宋" w:hAnsi="仿宋"/>
                <w:sz w:val="24"/>
              </w:rPr>
              <w:t>（20分）</w:t>
            </w:r>
          </w:p>
        </w:tc>
        <w:tc>
          <w:tcPr>
            <w:tcW w:w="1457" w:type="dxa"/>
            <w:vMerge w:val="restart"/>
            <w:vAlign w:val="center"/>
          </w:tcPr>
          <w:p>
            <w:pPr>
              <w:widowControl/>
              <w:suppressAutoHyphens/>
              <w:textAlignment w:val="top"/>
              <w:rPr>
                <w:rFonts w:ascii="仿宋" w:hAnsi="仿宋"/>
                <w:sz w:val="24"/>
                <w:lang w:eastAsia="zh-CN"/>
              </w:rPr>
            </w:pPr>
            <w:r>
              <w:rPr>
                <w:rFonts w:hint="eastAsia" w:ascii="仿宋" w:hAnsi="仿宋"/>
                <w:sz w:val="24"/>
                <w:lang w:eastAsia="zh-CN"/>
              </w:rPr>
              <w:t>（二）开展专项活动。</w:t>
            </w:r>
          </w:p>
          <w:p>
            <w:pPr>
              <w:suppressAutoHyphens/>
              <w:rPr>
                <w:rFonts w:ascii="仿宋" w:hAnsi="仿宋" w:eastAsia="仿宋_GB2312" w:cs="仿宋_GB2312"/>
                <w:sz w:val="24"/>
                <w:lang w:eastAsia="zh-CN"/>
              </w:rPr>
            </w:pPr>
            <w:r>
              <w:rPr>
                <w:rFonts w:hint="eastAsia" w:ascii="仿宋" w:hAnsi="仿宋"/>
                <w:sz w:val="24"/>
                <w:lang w:eastAsia="zh-CN"/>
              </w:rPr>
              <w:t>（15分）</w:t>
            </w:r>
          </w:p>
        </w:tc>
        <w:tc>
          <w:tcPr>
            <w:tcW w:w="3075" w:type="dxa"/>
            <w:vAlign w:val="center"/>
          </w:tcPr>
          <w:p>
            <w:pPr>
              <w:widowControl/>
              <w:suppressAutoHyphens/>
              <w:textAlignment w:val="top"/>
              <w:rPr>
                <w:rFonts w:ascii="仿宋" w:hAnsi="仿宋"/>
                <w:sz w:val="24"/>
                <w:lang w:eastAsia="zh-CN"/>
              </w:rPr>
            </w:pPr>
            <w:r>
              <w:rPr>
                <w:rFonts w:hint="eastAsia" w:ascii="仿宋" w:hAnsi="仿宋"/>
                <w:sz w:val="24"/>
                <w:lang w:eastAsia="zh-CN"/>
              </w:rPr>
              <w:t>1.适宜技术与工具的推广与评价（11分）</w:t>
            </w:r>
          </w:p>
          <w:p>
            <w:pPr>
              <w:widowControl/>
              <w:suppressAutoHyphens/>
              <w:textAlignment w:val="top"/>
              <w:rPr>
                <w:rFonts w:ascii="仿宋" w:hAnsi="仿宋" w:eastAsia="仿宋_GB2312" w:cs="仿宋_GB2312"/>
                <w:sz w:val="24"/>
                <w:lang w:eastAsia="zh-CN"/>
              </w:rPr>
            </w:pP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（1）推广使用健康工具（限盐勺、限油壶、健康腰围尺、智能手环等），得1分。</w:t>
            </w:r>
          </w:p>
          <w:p>
            <w:pPr>
              <w:widowControl/>
              <w:suppressAutoHyphens/>
              <w:textAlignment w:val="top"/>
              <w:rPr>
                <w:rFonts w:ascii="仿宋" w:hAnsi="仿宋"/>
                <w:sz w:val="24"/>
                <w:lang w:eastAsia="zh-CN"/>
              </w:rPr>
            </w:pPr>
            <w:r>
              <w:rPr>
                <w:rFonts w:hint="eastAsia" w:ascii="仿宋" w:hAnsi="仿宋"/>
                <w:sz w:val="24"/>
                <w:lang w:eastAsia="zh-CN"/>
              </w:rPr>
              <w:t>（2）食盐与食用油的摄入量低于全省平均水平3%及以上</w:t>
            </w:r>
            <w:r>
              <w:rPr>
                <w:rFonts w:hint="eastAsia" w:ascii="仿宋" w:hAnsi="仿宋" w:cs="仿宋_GB2312"/>
                <w:sz w:val="24"/>
                <w:lang w:eastAsia="zh-CN"/>
              </w:rPr>
              <w:t>，</w:t>
            </w:r>
            <w:r>
              <w:rPr>
                <w:rFonts w:hint="eastAsia" w:ascii="仿宋" w:hAnsi="仿宋"/>
                <w:sz w:val="24"/>
                <w:lang w:eastAsia="zh-CN"/>
              </w:rPr>
              <w:t>各1分，共得2分。</w:t>
            </w:r>
          </w:p>
          <w:p>
            <w:pPr>
              <w:widowControl/>
              <w:suppressAutoHyphens/>
              <w:textAlignment w:val="top"/>
              <w:rPr>
                <w:rFonts w:ascii="仿宋" w:hAnsi="仿宋"/>
                <w:sz w:val="24"/>
                <w:lang w:eastAsia="zh-CN"/>
              </w:rPr>
            </w:pPr>
            <w:r>
              <w:rPr>
                <w:rFonts w:hint="eastAsia" w:ascii="仿宋" w:hAnsi="仿宋"/>
                <w:sz w:val="24"/>
                <w:lang w:eastAsia="zh-CN"/>
              </w:rPr>
              <w:t>复审：食盐与食用油的摄入量5年下降15%以上，各得1分，共得2分；下降10%</w:t>
            </w:r>
            <w:r>
              <w:rPr>
                <w:rFonts w:hint="eastAsia" w:ascii="仿宋" w:hAnsi="仿宋" w:cs="仿宋_GB2312"/>
                <w:sz w:val="24"/>
                <w:lang w:eastAsia="zh-CN"/>
              </w:rPr>
              <w:t>—</w:t>
            </w:r>
            <w:r>
              <w:rPr>
                <w:rFonts w:hint="eastAsia" w:ascii="仿宋" w:hAnsi="仿宋"/>
                <w:sz w:val="24"/>
                <w:lang w:eastAsia="zh-CN"/>
              </w:rPr>
              <w:t>15%，各得0.5分，共得1分。</w:t>
            </w:r>
          </w:p>
          <w:p>
            <w:pPr>
              <w:widowControl/>
              <w:suppressAutoHyphens/>
              <w:textAlignment w:val="top"/>
              <w:rPr>
                <w:rFonts w:ascii="仿宋" w:hAnsi="仿宋"/>
                <w:sz w:val="24"/>
                <w:lang w:eastAsia="zh-CN"/>
              </w:rPr>
            </w:pPr>
            <w:r>
              <w:rPr>
                <w:rFonts w:hint="eastAsia" w:ascii="仿宋" w:hAnsi="仿宋"/>
                <w:sz w:val="24"/>
                <w:lang w:eastAsia="zh-CN"/>
              </w:rPr>
              <w:t>（3）辖区内儿童窝沟封闭服务覆盖率≥60%，得2分；辖区12岁儿童患龋率&lt; 25%，得2分。共得4分。</w:t>
            </w:r>
          </w:p>
          <w:p>
            <w:pPr>
              <w:widowControl/>
              <w:suppressAutoHyphens/>
              <w:textAlignment w:val="top"/>
              <w:rPr>
                <w:rFonts w:ascii="仿宋" w:hAnsi="仿宋"/>
                <w:sz w:val="24"/>
                <w:lang w:eastAsia="zh-CN"/>
              </w:rPr>
            </w:pPr>
            <w:r>
              <w:rPr>
                <w:rFonts w:hint="eastAsia" w:ascii="仿宋" w:hAnsi="仿宋"/>
                <w:sz w:val="24"/>
                <w:lang w:eastAsia="zh-CN"/>
              </w:rPr>
              <w:t>（4）将骨密度检测纳入常规体检，逐年提高50岁及以上人群骨密度检测率，得2分。</w:t>
            </w:r>
          </w:p>
          <w:p>
            <w:pPr>
              <w:widowControl/>
              <w:suppressAutoHyphens/>
              <w:textAlignment w:val="top"/>
              <w:rPr>
                <w:rFonts w:ascii="仿宋" w:hAnsi="仿宋" w:eastAsia="仿宋_GB2312" w:cs="仿宋_GB2312"/>
                <w:sz w:val="24"/>
              </w:rPr>
            </w:pPr>
            <w:r>
              <w:rPr>
                <w:rFonts w:hint="eastAsia" w:ascii="仿宋" w:hAnsi="仿宋"/>
                <w:sz w:val="24"/>
                <w:lang w:eastAsia="zh-CN"/>
              </w:rPr>
              <w:t>（5）辖区成人肥胖率低于12%，得1分；辖区青少年肥胖率低于8%，得1分。</w:t>
            </w:r>
            <w:r>
              <w:rPr>
                <w:rFonts w:hint="eastAsia" w:ascii="仿宋" w:hAnsi="仿宋"/>
                <w:sz w:val="24"/>
              </w:rPr>
              <w:t>共2分。</w:t>
            </w:r>
          </w:p>
        </w:tc>
        <w:tc>
          <w:tcPr>
            <w:tcW w:w="1273" w:type="dxa"/>
            <w:vAlign w:val="center"/>
          </w:tcPr>
          <w:p>
            <w:pPr>
              <w:widowControl/>
              <w:suppressAutoHyphens/>
              <w:jc w:val="center"/>
              <w:textAlignment w:val="top"/>
              <w:rPr>
                <w:rFonts w:ascii="仿宋" w:hAnsi="仿宋" w:eastAsia="仿宋_GB2312" w:cs="仿宋_GB2312"/>
                <w:sz w:val="24"/>
              </w:rPr>
            </w:pPr>
            <w:r>
              <w:rPr>
                <w:rFonts w:hint="eastAsia" w:ascii="仿宋" w:hAnsi="仿宋"/>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8"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sz w:val="24"/>
              </w:rPr>
            </w:pPr>
            <w:r>
              <w:rPr>
                <w:rFonts w:hint="eastAsia" w:ascii="仿宋" w:hAnsi="仿宋"/>
                <w:sz w:val="24"/>
                <w:lang w:eastAsia="zh-CN"/>
              </w:rPr>
              <w:t>2.健康生活方式指导员能力建设。</w:t>
            </w:r>
            <w:r>
              <w:rPr>
                <w:rFonts w:hint="eastAsia" w:ascii="仿宋" w:hAnsi="仿宋"/>
                <w:sz w:val="24"/>
              </w:rPr>
              <w:t>（2分）</w:t>
            </w:r>
          </w:p>
          <w:p>
            <w:pPr>
              <w:widowControl/>
              <w:suppressAutoHyphens/>
              <w:textAlignment w:val="top"/>
              <w:rPr>
                <w:rFonts w:ascii="仿宋" w:hAnsi="仿宋" w:eastAsia="仿宋_GB2312" w:cs="仿宋_GB2312"/>
                <w:sz w:val="24"/>
              </w:rPr>
            </w:pPr>
          </w:p>
        </w:tc>
        <w:tc>
          <w:tcPr>
            <w:tcW w:w="7755" w:type="dxa"/>
            <w:vAlign w:val="center"/>
          </w:tcPr>
          <w:p>
            <w:pPr>
              <w:widowControl/>
              <w:tabs>
                <w:tab w:val="left" w:pos="312"/>
              </w:tabs>
              <w:suppressAutoHyphens/>
              <w:textAlignment w:val="top"/>
              <w:rPr>
                <w:rFonts w:ascii="仿宋" w:hAnsi="仿宋"/>
                <w:sz w:val="24"/>
                <w:lang w:eastAsia="zh-CN"/>
              </w:rPr>
            </w:pPr>
            <w:r>
              <w:rPr>
                <w:rFonts w:hint="eastAsia" w:ascii="仿宋" w:hAnsi="仿宋"/>
                <w:sz w:val="24"/>
                <w:lang w:eastAsia="zh-CN"/>
              </w:rPr>
              <w:t>（1）在健康社区的社区工作者中至少有1名健康生活方式指导员，得1分。</w:t>
            </w:r>
          </w:p>
          <w:p>
            <w:pPr>
              <w:widowControl/>
              <w:suppressAutoHyphens/>
              <w:textAlignment w:val="top"/>
              <w:rPr>
                <w:rFonts w:ascii="仿宋" w:hAnsi="仿宋"/>
                <w:sz w:val="24"/>
                <w:lang w:eastAsia="zh-CN"/>
              </w:rPr>
            </w:pPr>
            <w:r>
              <w:rPr>
                <w:rFonts w:hint="eastAsia" w:ascii="仿宋" w:hAnsi="仿宋"/>
                <w:b/>
                <w:bCs/>
                <w:sz w:val="24"/>
                <w:lang w:eastAsia="zh-CN"/>
              </w:rPr>
              <w:t>复审：</w:t>
            </w:r>
            <w:r>
              <w:rPr>
                <w:rFonts w:hint="eastAsia" w:ascii="仿宋" w:hAnsi="仿宋"/>
                <w:sz w:val="24"/>
                <w:lang w:eastAsia="zh-CN"/>
              </w:rPr>
              <w:t>每年至少招募并培训5名健康生活方式指导员，得1分。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（2）每年举办或者组织参加“三减三健”相关培训至少1次，得1分。</w:t>
            </w:r>
          </w:p>
        </w:tc>
        <w:tc>
          <w:tcPr>
            <w:tcW w:w="1273" w:type="dxa"/>
            <w:vAlign w:val="center"/>
          </w:tcPr>
          <w:p>
            <w:pPr>
              <w:widowControl/>
              <w:suppressAutoHyphens/>
              <w:jc w:val="center"/>
              <w:textAlignment w:val="top"/>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1"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rPr>
            </w:pPr>
            <w:r>
              <w:rPr>
                <w:rFonts w:hint="eastAsia" w:ascii="仿宋" w:hAnsi="仿宋"/>
                <w:sz w:val="24"/>
                <w:lang w:eastAsia="zh-CN"/>
              </w:rPr>
              <w:t>3.开展健康生活方式指导员的“五进”活动。</w:t>
            </w:r>
            <w:r>
              <w:rPr>
                <w:rFonts w:hint="eastAsia" w:ascii="仿宋" w:hAnsi="仿宋"/>
                <w:sz w:val="24"/>
              </w:rPr>
              <w:t>（2分）</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（1）健康生活方式指导覆盖家庭、社区、学校、单位、医院等五类场所，每覆盖1类场所，得0.2分，共得 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（2）每年至少开展2项特色现场活动，得1分。</w:t>
            </w:r>
          </w:p>
        </w:tc>
        <w:tc>
          <w:tcPr>
            <w:tcW w:w="1273" w:type="dxa"/>
            <w:vAlign w:val="center"/>
          </w:tcPr>
          <w:p>
            <w:pPr>
              <w:widowControl/>
              <w:suppressAutoHyphens/>
              <w:jc w:val="center"/>
              <w:textAlignment w:val="top"/>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1" w:hRule="atLeast"/>
          <w:jc w:val="center"/>
        </w:trPr>
        <w:tc>
          <w:tcPr>
            <w:tcW w:w="1136" w:type="dxa"/>
            <w:vAlign w:val="center"/>
          </w:tcPr>
          <w:p>
            <w:pPr>
              <w:widowControl/>
              <w:suppressAutoHyphens/>
              <w:jc w:val="center"/>
              <w:textAlignment w:val="center"/>
              <w:rPr>
                <w:rFonts w:ascii="仿宋" w:hAnsi="仿宋"/>
                <w:sz w:val="24"/>
              </w:rPr>
            </w:pPr>
            <w:r>
              <w:rPr>
                <w:rFonts w:hint="eastAsia" w:ascii="仿宋" w:hAnsi="仿宋"/>
                <w:sz w:val="24"/>
              </w:rPr>
              <w:t>四、体系</w:t>
            </w:r>
          </w:p>
          <w:p>
            <w:pPr>
              <w:widowControl/>
              <w:suppressAutoHyphens/>
              <w:jc w:val="center"/>
              <w:textAlignment w:val="center"/>
              <w:rPr>
                <w:rFonts w:ascii="仿宋" w:hAnsi="仿宋"/>
                <w:sz w:val="24"/>
              </w:rPr>
            </w:pPr>
            <w:r>
              <w:rPr>
                <w:rFonts w:hint="eastAsia" w:ascii="仿宋" w:hAnsi="仿宋"/>
                <w:sz w:val="24"/>
              </w:rPr>
              <w:t>整合</w:t>
            </w:r>
          </w:p>
          <w:p>
            <w:pPr>
              <w:suppressAutoHyphens/>
              <w:jc w:val="center"/>
              <w:rPr>
                <w:rFonts w:ascii="仿宋" w:hAnsi="仿宋" w:eastAsia="仿宋_GB2312" w:cs="仿宋_GB2312"/>
                <w:sz w:val="24"/>
              </w:rPr>
            </w:pPr>
            <w:r>
              <w:rPr>
                <w:rFonts w:hint="eastAsia" w:ascii="仿宋" w:hAnsi="仿宋"/>
                <w:sz w:val="24"/>
              </w:rPr>
              <w:t>（30分）</w:t>
            </w:r>
          </w:p>
        </w:tc>
        <w:tc>
          <w:tcPr>
            <w:tcW w:w="1457" w:type="dxa"/>
            <w:vAlign w:val="center"/>
          </w:tcPr>
          <w:p>
            <w:pPr>
              <w:suppressAutoHyphens/>
              <w:rPr>
                <w:rFonts w:ascii="仿宋" w:hAnsi="仿宋" w:eastAsia="仿宋_GB2312" w:cs="仿宋_GB2312"/>
                <w:sz w:val="24"/>
              </w:rPr>
            </w:pPr>
            <w:r>
              <w:rPr>
                <w:rFonts w:hint="eastAsia" w:ascii="仿宋" w:hAnsi="仿宋"/>
                <w:sz w:val="24"/>
                <w:lang w:eastAsia="zh-CN"/>
              </w:rPr>
              <w:t>（一）建立分工明确、功能互补、防治结合、上下联动、全程连续的慢性病综合防控体系。</w:t>
            </w:r>
            <w:r>
              <w:rPr>
                <w:rFonts w:hint="eastAsia" w:ascii="仿宋" w:hAnsi="仿宋"/>
                <w:sz w:val="24"/>
              </w:rPr>
              <w:t>（18分）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1.建立健全慢性病综合防控服务体系。</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（1）辖区卫生健康主管部门制定或落实慢性病综合防控服务体系建设方案，明确疾病预防控制机构、医院和基层医疗卫生机构慢性病防控职责，得1分。</w:t>
            </w:r>
          </w:p>
          <w:p>
            <w:pPr>
              <w:widowControl/>
              <w:suppressAutoHyphens/>
              <w:textAlignment w:val="top"/>
              <w:rPr>
                <w:rFonts w:ascii="仿宋" w:hAnsi="仿宋"/>
                <w:sz w:val="24"/>
                <w:lang w:eastAsia="zh-CN"/>
              </w:rPr>
            </w:pPr>
            <w:r>
              <w:rPr>
                <w:rFonts w:hint="eastAsia" w:ascii="仿宋" w:hAnsi="仿宋"/>
                <w:sz w:val="24"/>
                <w:lang w:eastAsia="zh-CN"/>
              </w:rPr>
              <w:t>（2）辖区疾病预防控制机构设置有独立的慢性病防控科，得1分。</w:t>
            </w:r>
          </w:p>
          <w:p>
            <w:pPr>
              <w:widowControl/>
              <w:suppressAutoHyphens/>
              <w:textAlignment w:val="top"/>
              <w:rPr>
                <w:rFonts w:ascii="仿宋" w:hAnsi="仿宋"/>
                <w:sz w:val="24"/>
                <w:lang w:eastAsia="zh-CN"/>
              </w:rPr>
            </w:pPr>
            <w:r>
              <w:rPr>
                <w:rFonts w:hint="eastAsia" w:ascii="仿宋" w:hAnsi="仿宋"/>
                <w:sz w:val="24"/>
                <w:lang w:eastAsia="zh-CN"/>
              </w:rPr>
              <w:t>慢性病防控科配备慢性病防控专职人员，专职人员占本机构专业技术人员总数的10%以上，得1分；5%</w:t>
            </w:r>
            <w:r>
              <w:rPr>
                <w:rFonts w:hint="eastAsia" w:ascii="仿宋" w:hAnsi="仿宋" w:cs="仿宋_GB2312"/>
                <w:sz w:val="24"/>
                <w:lang w:eastAsia="zh-CN"/>
              </w:rPr>
              <w:t>—</w:t>
            </w:r>
            <w:r>
              <w:rPr>
                <w:rFonts w:hint="eastAsia" w:ascii="仿宋" w:hAnsi="仿宋"/>
                <w:sz w:val="24"/>
                <w:lang w:eastAsia="zh-CN"/>
              </w:rPr>
              <w:t>10%，得0.5分。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辖区三级医院、二级综合性医院和基层医疗卫生机构（乡镇卫生院、社区卫生服务中心）设置有独立的公共卫生科，二级专科医院等其他医疗机构可设置独立的公共卫生科或明确承担公共卫生管理职责的科室。</w:t>
            </w:r>
          </w:p>
        </w:tc>
        <w:tc>
          <w:tcPr>
            <w:tcW w:w="1273" w:type="dxa"/>
            <w:vAlign w:val="center"/>
          </w:tcPr>
          <w:p>
            <w:pPr>
              <w:widowControl/>
              <w:suppressAutoHyphens/>
              <w:jc w:val="center"/>
              <w:textAlignment w:val="top"/>
              <w:rPr>
                <w:rFonts w:ascii="仿宋" w:hAnsi="仿宋" w:eastAsia="仿宋_GB2312"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86"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四、体系</w:t>
            </w:r>
          </w:p>
          <w:p>
            <w:pPr>
              <w:widowControl/>
              <w:suppressAutoHyphens/>
              <w:jc w:val="center"/>
              <w:textAlignment w:val="center"/>
              <w:rPr>
                <w:rFonts w:ascii="仿宋" w:hAnsi="仿宋" w:eastAsia="仿宋_GB2312" w:cs="仿宋_GB2312"/>
                <w:sz w:val="24"/>
              </w:rPr>
            </w:pPr>
            <w:r>
              <w:rPr>
                <w:rFonts w:hint="eastAsia" w:ascii="仿宋" w:hAnsi="仿宋"/>
                <w:sz w:val="24"/>
              </w:rPr>
              <w:t>整合（30分）</w:t>
            </w:r>
          </w:p>
        </w:tc>
        <w:tc>
          <w:tcPr>
            <w:tcW w:w="1457" w:type="dxa"/>
            <w:vMerge w:val="restart"/>
            <w:vAlign w:val="center"/>
          </w:tcPr>
          <w:p>
            <w:pPr>
              <w:suppressAutoHyphens/>
              <w:rPr>
                <w:rFonts w:ascii="仿宋" w:hAnsi="仿宋" w:eastAsia="仿宋_GB2312" w:cs="仿宋_GB2312"/>
                <w:sz w:val="24"/>
              </w:rPr>
            </w:pPr>
            <w:r>
              <w:rPr>
                <w:rFonts w:hint="eastAsia" w:ascii="仿宋" w:hAnsi="仿宋"/>
                <w:sz w:val="24"/>
                <w:lang w:eastAsia="zh-CN"/>
              </w:rPr>
              <w:t>（一）建立分工明确、功能互补、防治结合、上下联动、全程连续的慢性病综合防控体系。</w:t>
            </w:r>
            <w:r>
              <w:rPr>
                <w:rFonts w:hint="eastAsia" w:ascii="仿宋" w:hAnsi="仿宋"/>
                <w:sz w:val="24"/>
              </w:rPr>
              <w:t>（18分）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1.建立健全慢性病综合防控服务体系。</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全部医疗机构均设置了公共卫生相关管理科室，得2分；发现1个医疗机构未设置，扣0.5分，扣完2分为止。</w:t>
            </w:r>
          </w:p>
          <w:p>
            <w:pPr>
              <w:widowControl/>
              <w:suppressAutoHyphens/>
              <w:textAlignment w:val="top"/>
              <w:rPr>
                <w:rFonts w:ascii="仿宋" w:hAnsi="仿宋"/>
                <w:sz w:val="24"/>
                <w:lang w:eastAsia="zh-CN"/>
              </w:rPr>
            </w:pPr>
            <w:r>
              <w:rPr>
                <w:rFonts w:hint="eastAsia" w:ascii="仿宋" w:hAnsi="仿宋"/>
                <w:sz w:val="24"/>
                <w:lang w:eastAsia="zh-CN"/>
              </w:rPr>
              <w:t>公共卫生相关管理科室配备专职公共卫生人员。其中，三级综合医院、中医（中西医结合）医院、妇幼保健院公共卫生科配备专职公共卫生人员（公卫专员）不少于5名（其中直接从事疾病预防控制工作的人员不少于3名）；三级专科医院公共卫生科和二级医院公共卫生相关管理科室配备专职公共卫生人员不少于3名（其中直接从事疾病预防控制工作的人员不少于2名）；住院床位数在10张以上的基层医疗卫生机构专职公共卫生人员不少于4名；其他医疗机构专（兼）职公共卫生人员不少于2名。全部医疗机构均按标准配备了公共卫生人员，并从事包括慢性病防控在内的疾病预防控制工作，得2分；发现1个医疗机构未按标准配备，扣0.5分，扣完2分为止。</w:t>
            </w:r>
          </w:p>
          <w:p>
            <w:pPr>
              <w:widowControl/>
              <w:suppressAutoHyphens/>
              <w:textAlignment w:val="top"/>
              <w:rPr>
                <w:rFonts w:ascii="仿宋" w:hAnsi="仿宋" w:eastAsia="仿宋_GB2312" w:cs="仿宋_GB2312"/>
                <w:b/>
                <w:bCs/>
                <w:sz w:val="24"/>
                <w:lang w:eastAsia="zh-CN"/>
              </w:rPr>
            </w:pPr>
            <w:r>
              <w:rPr>
                <w:rFonts w:hint="eastAsia" w:ascii="仿宋" w:hAnsi="仿宋"/>
                <w:sz w:val="24"/>
                <w:lang w:eastAsia="zh-CN"/>
              </w:rPr>
              <w:t>（4）加强基层公共卫生工作组织协调，成立村居公共卫生委员会，得1分。</w:t>
            </w:r>
          </w:p>
        </w:tc>
        <w:tc>
          <w:tcPr>
            <w:tcW w:w="1273" w:type="dxa"/>
            <w:vAlign w:val="center"/>
          </w:tcPr>
          <w:p>
            <w:pPr>
              <w:widowControl/>
              <w:suppressAutoHyphens/>
              <w:jc w:val="center"/>
              <w:textAlignment w:val="center"/>
              <w:rPr>
                <w:rFonts w:ascii="仿宋" w:hAnsi="仿宋" w:eastAsia="仿宋_GB2312" w:cs="仿宋_GB2312"/>
                <w:sz w:val="24"/>
                <w:highlight w:val="yellow"/>
              </w:rPr>
            </w:pPr>
            <w:r>
              <w:rPr>
                <w:rFonts w:hint="eastAsia" w:ascii="仿宋" w:hAnsi="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jc w:val="center"/>
        </w:trPr>
        <w:tc>
          <w:tcPr>
            <w:tcW w:w="1136" w:type="dxa"/>
            <w:vMerge w:val="continue"/>
            <w:vAlign w:val="center"/>
          </w:tcPr>
          <w:p>
            <w:pPr>
              <w:widowControl/>
              <w:suppressAutoHyphens/>
              <w:jc w:val="center"/>
              <w:textAlignment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2.建立健全资源共享、信息互通、责任共担、综合连续的医防协作、防治结合工作机制，推进医疗卫生机构提供慢性病整合型“防筛治康管护养”服务。</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辖区卫生健康主管部门负责组织、督促疾病预防控制机构、综合和专科医院、基层医疗卫生机构健全医防协作、防治结合工作机制，并对工作机制运行情况定期进行考核评价，确保服务体系有效运行，得2分。</w:t>
            </w:r>
          </w:p>
          <w:p>
            <w:pPr>
              <w:widowControl/>
              <w:suppressAutoHyphens/>
              <w:textAlignment w:val="top"/>
              <w:rPr>
                <w:rFonts w:ascii="仿宋" w:hAnsi="仿宋"/>
                <w:sz w:val="24"/>
                <w:lang w:eastAsia="zh-CN"/>
              </w:rPr>
            </w:pPr>
            <w:r>
              <w:rPr>
                <w:rFonts w:hint="eastAsia" w:ascii="仿宋" w:hAnsi="仿宋"/>
                <w:sz w:val="24"/>
                <w:lang w:eastAsia="zh-CN"/>
              </w:rPr>
              <w:t>（2）辖区疾病预防控制机构在卫生健康主管部门领导下，负责建立完善辖区慢性病防控工作质量评价机制，对辖区综合和专科医院、基层医疗卫生机构进行慢性病防控工作业务指导、质量控制和效果评估，得2分。（3）辖区综合和专科医院负责对基层医疗卫生机构进行适宜技术推广、技术指导和对口支援，建立有效的合作关系，得2分。</w:t>
            </w:r>
          </w:p>
          <w:p>
            <w:pPr>
              <w:widowControl/>
              <w:suppressAutoHyphens/>
              <w:textAlignment w:val="top"/>
              <w:rPr>
                <w:rFonts w:ascii="仿宋" w:hAnsi="仿宋"/>
                <w:sz w:val="24"/>
                <w:highlight w:val="yellow"/>
                <w:lang w:eastAsia="zh-CN"/>
              </w:rPr>
            </w:pPr>
            <w:r>
              <w:rPr>
                <w:rFonts w:hint="eastAsia" w:ascii="仿宋" w:hAnsi="仿宋"/>
                <w:sz w:val="24"/>
                <w:lang w:eastAsia="zh-CN"/>
              </w:rPr>
              <w:t>（4）辖区疾病预防控制机构选派专业技术</w:t>
            </w:r>
            <w:r>
              <w:rPr>
                <w:rFonts w:hint="eastAsia" w:ascii="仿宋" w:hAnsi="仿宋"/>
                <w:bCs/>
                <w:sz w:val="24"/>
                <w:lang w:eastAsia="zh-CN"/>
              </w:rPr>
              <w:t>人员</w:t>
            </w:r>
            <w:r>
              <w:rPr>
                <w:rFonts w:hint="eastAsia" w:ascii="仿宋" w:hAnsi="仿宋"/>
                <w:sz w:val="24"/>
                <w:lang w:eastAsia="zh-CN"/>
              </w:rPr>
              <w:t>参与县域医联体、医共体慢性病防控工作，为重点人群、重点慢性病提供针对性健康促进、预防保健、康复指导等服务，并下沉基层医疗卫生机构、学校指导慢性病防控工作，得2分。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5）辖区疾病预防控制机构、综合和专科医院、基层医疗卫生机构、养老机构密切协作，建立健全全专结合、防治结合、中西医结合、医养结合的工作机制，为慢性病患者提供整合型、连续性“防筛治康管护养”服务，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3"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四、体系</w:t>
            </w:r>
          </w:p>
          <w:p>
            <w:pPr>
              <w:widowControl/>
              <w:suppressAutoHyphens/>
              <w:jc w:val="center"/>
              <w:textAlignment w:val="center"/>
              <w:rPr>
                <w:rFonts w:ascii="仿宋" w:hAnsi="仿宋"/>
                <w:sz w:val="24"/>
              </w:rPr>
            </w:pPr>
            <w:r>
              <w:rPr>
                <w:rFonts w:hint="eastAsia" w:ascii="仿宋" w:hAnsi="仿宋"/>
                <w:sz w:val="24"/>
              </w:rPr>
              <w:t>整合</w:t>
            </w:r>
          </w:p>
          <w:p>
            <w:pPr>
              <w:suppressAutoHyphens/>
              <w:jc w:val="center"/>
              <w:rPr>
                <w:rFonts w:ascii="仿宋" w:hAnsi="仿宋" w:eastAsia="仿宋_GB2312" w:cs="仿宋_GB2312"/>
                <w:sz w:val="24"/>
              </w:rPr>
            </w:pPr>
            <w:r>
              <w:rPr>
                <w:rFonts w:hint="eastAsia" w:ascii="仿宋" w:hAnsi="仿宋"/>
                <w:sz w:val="24"/>
              </w:rPr>
              <w:t>（30分）</w:t>
            </w:r>
          </w:p>
        </w:tc>
        <w:tc>
          <w:tcPr>
            <w:tcW w:w="1457" w:type="dxa"/>
            <w:vMerge w:val="restart"/>
            <w:vAlign w:val="center"/>
          </w:tcPr>
          <w:p>
            <w:pPr>
              <w:widowControl/>
              <w:suppressAutoHyphens/>
              <w:textAlignment w:val="center"/>
              <w:rPr>
                <w:rFonts w:ascii="仿宋" w:hAnsi="仿宋"/>
                <w:sz w:val="24"/>
                <w:lang w:eastAsia="zh-CN"/>
              </w:rPr>
            </w:pPr>
            <w:r>
              <w:rPr>
                <w:rFonts w:hint="eastAsia" w:ascii="仿宋" w:hAnsi="仿宋"/>
                <w:sz w:val="24"/>
                <w:lang w:eastAsia="zh-CN"/>
              </w:rPr>
              <w:t>（二）加强慢性病防控队伍能力建设。</w:t>
            </w:r>
          </w:p>
          <w:p>
            <w:pPr>
              <w:suppressAutoHyphens/>
              <w:rPr>
                <w:rFonts w:ascii="仿宋" w:hAnsi="仿宋" w:eastAsia="仿宋_GB2312" w:cs="仿宋_GB2312"/>
                <w:sz w:val="24"/>
              </w:rPr>
            </w:pPr>
            <w:r>
              <w:rPr>
                <w:rFonts w:hint="eastAsia" w:ascii="仿宋" w:hAnsi="仿宋"/>
                <w:sz w:val="24"/>
              </w:rPr>
              <w:t>（12分）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1.加强辖区疾病预防控制机构慢性病防控专业技术人员能力建设。</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辖区疾病预防控制机构每年组织本单位慢性病防控专业技术人员参加专业培训不少于2次，1次得1分，共得2分。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75"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2.提升二级及以上医院公共卫生人员专业能力。</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（1）二级及以上医院每年组织本单位承担疾病预防控制工作的专业技术人员接受专业培训不少于2次，1次得0.75分，共得1.5分。</w:t>
            </w:r>
          </w:p>
          <w:p>
            <w:pPr>
              <w:widowControl/>
              <w:suppressAutoHyphens/>
              <w:textAlignment w:val="top"/>
              <w:rPr>
                <w:rFonts w:ascii="仿宋" w:hAnsi="仿宋"/>
                <w:sz w:val="24"/>
                <w:lang w:eastAsia="zh-CN"/>
              </w:rPr>
            </w:pPr>
            <w:r>
              <w:rPr>
                <w:rFonts w:hint="eastAsia" w:ascii="仿宋" w:hAnsi="仿宋"/>
                <w:sz w:val="24"/>
                <w:lang w:eastAsia="zh-CN"/>
              </w:rPr>
              <w:t>（2）二级及以上医院每年组织对辖区基层医疗机构的慢病专业培训不少于2次，1次得0.75分，共得1.5分。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（3）县级医院</w:t>
            </w:r>
            <w:r>
              <w:rPr>
                <w:rFonts w:hint="eastAsia" w:ascii="仿宋" w:hAnsi="仿宋"/>
                <w:sz w:val="24"/>
                <w:shd w:val="clear" w:color="auto" w:fill="FFFFFF"/>
                <w:lang w:eastAsia="zh-CN"/>
              </w:rPr>
              <w:t>依托现有资源建立健康管理中心和</w:t>
            </w:r>
            <w:r>
              <w:rPr>
                <w:rFonts w:hint="eastAsia" w:ascii="仿宋" w:hAnsi="仿宋"/>
                <w:sz w:val="24"/>
                <w:lang w:eastAsia="zh-CN"/>
              </w:rPr>
              <w:t>重大慢性病</w:t>
            </w:r>
            <w:r>
              <w:rPr>
                <w:rFonts w:hint="eastAsia" w:ascii="仿宋" w:hAnsi="仿宋"/>
                <w:sz w:val="24"/>
                <w:shd w:val="clear" w:color="auto" w:fill="FFFFFF"/>
                <w:lang w:eastAsia="zh-CN"/>
              </w:rPr>
              <w:t>相关专科专病中心</w:t>
            </w:r>
            <w:r>
              <w:rPr>
                <w:rFonts w:hint="eastAsia" w:ascii="仿宋" w:hAnsi="仿宋"/>
                <w:sz w:val="24"/>
                <w:lang w:eastAsia="zh-CN"/>
              </w:rPr>
              <w:t>，提升肿瘤、心脑血管疾病等重大慢性病的诊疗服务和健康管理能力，得1分。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65"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3.加强基层医疗卫生机构公共卫生服务能力建设。</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（1）基层医疗卫生机构每年接受上级疾病预防控制机构慢性病防控专业技术培训不少于2次，1次得1分，共得2分。</w:t>
            </w:r>
          </w:p>
          <w:p>
            <w:pPr>
              <w:widowControl/>
              <w:suppressAutoHyphens/>
              <w:textAlignment w:val="top"/>
              <w:rPr>
                <w:rFonts w:ascii="仿宋" w:hAnsi="仿宋"/>
                <w:sz w:val="24"/>
                <w:lang w:eastAsia="zh-CN"/>
              </w:rPr>
            </w:pPr>
            <w:r>
              <w:rPr>
                <w:rFonts w:hint="eastAsia" w:ascii="仿宋" w:hAnsi="仿宋"/>
                <w:sz w:val="24"/>
                <w:lang w:eastAsia="zh-CN"/>
              </w:rPr>
              <w:t>（2）基层医疗卫生机构每年接受上级医疗机构慢性病防治专业技术培训不少于2次，1次得1分，共得2分。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（3）基层医疗卫生机构每年组织对村卫生室或社区卫生服务站医护人员的培训不少于2次，1次得1分，共得2分。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jc w:val="center"/>
        </w:trPr>
        <w:tc>
          <w:tcPr>
            <w:tcW w:w="1136" w:type="dxa"/>
            <w:vMerge w:val="restart"/>
            <w:vAlign w:val="center"/>
          </w:tcPr>
          <w:p>
            <w:pPr>
              <w:widowControl/>
              <w:suppressAutoHyphens/>
              <w:jc w:val="center"/>
              <w:textAlignment w:val="center"/>
              <w:rPr>
                <w:rFonts w:ascii="仿宋" w:hAnsi="仿宋"/>
                <w:sz w:val="24"/>
                <w:lang w:eastAsia="zh-CN"/>
              </w:rPr>
            </w:pPr>
            <w:r>
              <w:rPr>
                <w:rFonts w:hint="eastAsia" w:ascii="仿宋" w:hAnsi="仿宋"/>
                <w:sz w:val="24"/>
                <w:lang w:eastAsia="zh-CN"/>
              </w:rPr>
              <w:t>五、健康教育与健康促进</w:t>
            </w:r>
          </w:p>
          <w:p>
            <w:pPr>
              <w:widowControl/>
              <w:suppressAutoHyphens/>
              <w:jc w:val="center"/>
              <w:textAlignment w:val="center"/>
              <w:rPr>
                <w:rFonts w:ascii="仿宋" w:hAnsi="仿宋" w:eastAsia="仿宋_GB2312" w:cs="仿宋_GB2312"/>
                <w:sz w:val="24"/>
              </w:rPr>
            </w:pPr>
            <w:r>
              <w:rPr>
                <w:rFonts w:hint="eastAsia" w:ascii="仿宋" w:hAnsi="仿宋"/>
                <w:sz w:val="24"/>
              </w:rPr>
              <w:t>（20分）</w:t>
            </w:r>
          </w:p>
        </w:tc>
        <w:tc>
          <w:tcPr>
            <w:tcW w:w="1457" w:type="dxa"/>
            <w:vMerge w:val="restart"/>
            <w:vAlign w:val="center"/>
          </w:tcPr>
          <w:p>
            <w:pPr>
              <w:widowControl/>
              <w:suppressAutoHyphens/>
              <w:textAlignment w:val="center"/>
              <w:rPr>
                <w:rFonts w:ascii="仿宋" w:hAnsi="仿宋"/>
                <w:sz w:val="24"/>
                <w:lang w:eastAsia="zh-CN"/>
              </w:rPr>
            </w:pPr>
            <w:r>
              <w:rPr>
                <w:rFonts w:hint="eastAsia" w:ascii="仿宋" w:hAnsi="仿宋"/>
                <w:sz w:val="24"/>
                <w:lang w:eastAsia="zh-CN"/>
              </w:rPr>
              <w:t>（一）通过多种渠道积极开展慢性病防治全民健康教育。</w:t>
            </w:r>
          </w:p>
          <w:p>
            <w:pPr>
              <w:widowControl/>
              <w:suppressAutoHyphens/>
              <w:textAlignment w:val="center"/>
              <w:rPr>
                <w:rFonts w:ascii="仿宋" w:hAnsi="仿宋" w:eastAsia="仿宋_GB2312" w:cs="仿宋_GB2312"/>
                <w:sz w:val="24"/>
              </w:rPr>
            </w:pPr>
            <w:r>
              <w:rPr>
                <w:rFonts w:hint="eastAsia" w:ascii="仿宋" w:hAnsi="仿宋"/>
                <w:sz w:val="24"/>
              </w:rPr>
              <w:t>（7分）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1.开展形式多样的健康教育与健康促进活动，广泛传播慢性病防治知识，提升健康素养。</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（1）当地社会主流媒体和互联网等新媒体广泛开展慢性病防治和健康保健知识科普，每月不少于 2 次，得1分。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（2）建立医疗机构和医务人员开展健康教育和健康促进的绩效考核机制，得1分。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0"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2.围绕重点慢性病防治，开展形式多样的健康教育和健康促进活动。</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辖区围绕全国肿瘤防治宣传周、世界无烟日、全国高血压日、世界卒中日、联合国糖尿病日、世界慢阻肺日等慢性病防治宣传主题，每年至少开展6次形式多样的健康教育与健康促进宣传活动，每次得0.5分，共得3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3.开展幼儿园、中小学校健康行为方式教育。</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（1）幼儿园、中小学校开设健康教育课覆盖率达100%，得0.5分。</w:t>
            </w:r>
          </w:p>
          <w:p>
            <w:pPr>
              <w:widowControl/>
              <w:suppressAutoHyphens/>
              <w:textAlignment w:val="top"/>
              <w:rPr>
                <w:rFonts w:ascii="仿宋" w:hAnsi="仿宋"/>
                <w:sz w:val="24"/>
                <w:lang w:eastAsia="zh-CN"/>
              </w:rPr>
            </w:pPr>
            <w:r>
              <w:rPr>
                <w:rFonts w:hint="eastAsia" w:ascii="仿宋" w:hAnsi="仿宋"/>
                <w:sz w:val="24"/>
                <w:lang w:eastAsia="zh-CN"/>
              </w:rPr>
              <w:t>（2）健康教育课包括营养均衡、口腔保健、健康体重、视力保护、心理健康、生命（死亡）教育、伤害预防（溺水、烧烫伤）等内容，每学期以班级为单位，课程≥6学时，得0.5分。</w:t>
            </w:r>
          </w:p>
          <w:p>
            <w:pPr>
              <w:widowControl/>
              <w:suppressAutoHyphens/>
              <w:textAlignment w:val="top"/>
              <w:rPr>
                <w:rFonts w:ascii="仿宋" w:hAnsi="仿宋"/>
                <w:sz w:val="24"/>
                <w:lang w:eastAsia="zh-CN"/>
              </w:rPr>
            </w:pPr>
            <w:r>
              <w:rPr>
                <w:rFonts w:hint="eastAsia" w:ascii="仿宋" w:hAnsi="仿宋"/>
                <w:sz w:val="24"/>
                <w:lang w:eastAsia="zh-CN"/>
              </w:rPr>
              <w:t>（3）寄宿制中小学校或600名学生以上的非寄宿制中小学校配备专职卫生专业技术人员、600名学生以下的非寄宿制中小学校配备专兼职保健教师或卫生专业技术人员的比例达到70%，得0.5分。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（4）配备专兼职心理健康工作人员的中小学校比例达到80%，得0.5分。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7" w:hRule="atLeast"/>
          <w:jc w:val="center"/>
        </w:trPr>
        <w:tc>
          <w:tcPr>
            <w:tcW w:w="1136" w:type="dxa"/>
            <w:vMerge w:val="restart"/>
            <w:vAlign w:val="center"/>
          </w:tcPr>
          <w:p>
            <w:pPr>
              <w:widowControl/>
              <w:suppressAutoHyphens/>
              <w:jc w:val="center"/>
              <w:textAlignment w:val="center"/>
              <w:rPr>
                <w:rFonts w:ascii="仿宋" w:hAnsi="仿宋"/>
                <w:sz w:val="24"/>
                <w:lang w:eastAsia="zh-CN"/>
              </w:rPr>
            </w:pPr>
            <w:r>
              <w:rPr>
                <w:rFonts w:hint="eastAsia" w:ascii="仿宋" w:hAnsi="仿宋"/>
                <w:sz w:val="24"/>
                <w:lang w:eastAsia="zh-CN"/>
              </w:rPr>
              <w:t>五、健康教育与健康促进</w:t>
            </w:r>
          </w:p>
          <w:p>
            <w:pPr>
              <w:suppressAutoHyphens/>
              <w:jc w:val="center"/>
              <w:rPr>
                <w:rFonts w:ascii="仿宋" w:hAnsi="仿宋" w:eastAsia="仿宋_GB2312" w:cs="仿宋_GB2312"/>
                <w:sz w:val="24"/>
              </w:rPr>
            </w:pPr>
            <w:r>
              <w:rPr>
                <w:rFonts w:hint="eastAsia" w:ascii="仿宋" w:hAnsi="仿宋"/>
                <w:sz w:val="24"/>
              </w:rPr>
              <w:t>（20分）</w:t>
            </w:r>
          </w:p>
        </w:tc>
        <w:tc>
          <w:tcPr>
            <w:tcW w:w="1457" w:type="dxa"/>
            <w:vMerge w:val="restart"/>
            <w:vAlign w:val="center"/>
          </w:tcPr>
          <w:p>
            <w:pPr>
              <w:widowControl/>
              <w:suppressAutoHyphens/>
              <w:textAlignment w:val="center"/>
              <w:rPr>
                <w:rFonts w:ascii="仿宋" w:hAnsi="仿宋"/>
                <w:sz w:val="24"/>
                <w:lang w:eastAsia="zh-CN"/>
              </w:rPr>
            </w:pPr>
            <w:r>
              <w:rPr>
                <w:rFonts w:hint="eastAsia" w:ascii="仿宋" w:hAnsi="仿宋"/>
                <w:sz w:val="24"/>
                <w:lang w:eastAsia="zh-CN"/>
              </w:rPr>
              <w:t>（二）提高居民重点慢性病核心知识知晓率和居民健康素养水平。</w:t>
            </w:r>
          </w:p>
          <w:p>
            <w:pPr>
              <w:widowControl/>
              <w:suppressAutoHyphens/>
              <w:textAlignment w:val="center"/>
              <w:rPr>
                <w:rFonts w:ascii="仿宋" w:hAnsi="仿宋" w:eastAsia="仿宋_GB2312" w:cs="仿宋_GB2312"/>
                <w:sz w:val="24"/>
              </w:rPr>
            </w:pPr>
            <w:r>
              <w:rPr>
                <w:rFonts w:hint="eastAsia" w:ascii="仿宋" w:hAnsi="仿宋"/>
                <w:sz w:val="24"/>
              </w:rPr>
              <w:t>（8分）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1.提高居民重点慢性病核心知识知晓率。</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居民重点慢性病核心知识知晓率≥70%，得4分；60%</w:t>
            </w:r>
            <w:r>
              <w:rPr>
                <w:rFonts w:hint="eastAsia" w:ascii="仿宋" w:hAnsi="仿宋" w:cs="仿宋_GB2312"/>
                <w:sz w:val="24"/>
                <w:lang w:eastAsia="zh-CN"/>
              </w:rPr>
              <w:t>—</w:t>
            </w:r>
            <w:r>
              <w:rPr>
                <w:rFonts w:hint="eastAsia" w:ascii="仿宋" w:hAnsi="仿宋"/>
                <w:sz w:val="24"/>
                <w:lang w:eastAsia="zh-CN"/>
              </w:rPr>
              <w:t>70%，得2分。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4"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2.提高居民健康素养水平。</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居民健康素养水平≥25%，得4 分；20%</w:t>
            </w:r>
            <w:r>
              <w:rPr>
                <w:rFonts w:hint="eastAsia" w:ascii="仿宋" w:hAnsi="仿宋" w:cs="仿宋_GB2312"/>
                <w:sz w:val="24"/>
                <w:lang w:eastAsia="zh-CN"/>
              </w:rPr>
              <w:t>—</w:t>
            </w:r>
            <w:r>
              <w:rPr>
                <w:rFonts w:hint="eastAsia" w:ascii="仿宋" w:hAnsi="仿宋"/>
                <w:sz w:val="24"/>
                <w:lang w:eastAsia="zh-CN"/>
              </w:rPr>
              <w:t>25%，得2 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1"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restart"/>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（三）发挥社会团体和群众组织在慢性病防控中的积极作用。</w:t>
            </w:r>
            <w:r>
              <w:rPr>
                <w:rFonts w:hint="eastAsia" w:ascii="仿宋" w:hAnsi="仿宋"/>
                <w:sz w:val="24"/>
              </w:rPr>
              <w:t>（5分）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1.辖区开展群众性健身运动。</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（1）有5个及以上的群众健身团体，得0.5分。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（2）配有体育指导员和志愿者，得0.5分。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5"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2.每年至少开展1次由社会团体组织和参与的集体性健身活动。</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定期开展由社会团体组织、企事业单位承担参与并积极支持的健身活动，每年≥1次，得1分。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9"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3.鼓励社区慢性病患者积极参与社区自我健康管理活动。</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有自我健康管理小组并规范开展活动的社区覆盖率≥50%，得3分；40%</w:t>
            </w:r>
            <w:r>
              <w:rPr>
                <w:rFonts w:hint="eastAsia" w:ascii="仿宋" w:hAnsi="仿宋" w:cs="仿宋_GB2312"/>
                <w:sz w:val="24"/>
                <w:lang w:eastAsia="zh-CN"/>
              </w:rPr>
              <w:t>—</w:t>
            </w:r>
            <w:r>
              <w:rPr>
                <w:rFonts w:hint="eastAsia" w:ascii="仿宋" w:hAnsi="仿宋"/>
                <w:sz w:val="24"/>
                <w:lang w:eastAsia="zh-CN"/>
              </w:rPr>
              <w:t>50%，得2分。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不符合技术规范要求或每年参加人数不变者分数减半。</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2" w:hRule="atLeast"/>
          <w:jc w:val="center"/>
        </w:trPr>
        <w:tc>
          <w:tcPr>
            <w:tcW w:w="1136" w:type="dxa"/>
            <w:vMerge w:val="restart"/>
            <w:vAlign w:val="center"/>
          </w:tcPr>
          <w:p>
            <w:pPr>
              <w:suppressAutoHyphens/>
              <w:ind w:left="632" w:leftChars="200" w:firstLine="632" w:firstLineChars="200"/>
              <w:rPr>
                <w:rFonts w:ascii="仿宋" w:hAnsi="仿宋" w:eastAsia="仿宋_GB2312" w:cs="Times New Roman"/>
                <w:szCs w:val="22"/>
              </w:rPr>
            </w:pPr>
          </w:p>
          <w:p>
            <w:pPr>
              <w:widowControl/>
              <w:suppressAutoHyphens/>
              <w:jc w:val="center"/>
              <w:textAlignment w:val="center"/>
              <w:rPr>
                <w:rFonts w:ascii="仿宋" w:hAnsi="仿宋"/>
                <w:sz w:val="24"/>
              </w:rPr>
            </w:pPr>
            <w:r>
              <w:rPr>
                <w:rFonts w:hint="eastAsia" w:ascii="仿宋" w:hAnsi="仿宋"/>
                <w:sz w:val="24"/>
              </w:rPr>
              <w:t>六、慢性病全程管理</w:t>
            </w:r>
          </w:p>
          <w:p>
            <w:pPr>
              <w:widowControl/>
              <w:suppressAutoHyphens/>
              <w:jc w:val="center"/>
              <w:textAlignment w:val="center"/>
              <w:rPr>
                <w:rFonts w:ascii="仿宋" w:hAnsi="仿宋" w:eastAsia="仿宋_GB2312" w:cs="仿宋_GB2312"/>
                <w:sz w:val="24"/>
              </w:rPr>
            </w:pPr>
            <w:r>
              <w:rPr>
                <w:rFonts w:hint="eastAsia" w:ascii="仿宋" w:hAnsi="仿宋"/>
                <w:sz w:val="24"/>
              </w:rPr>
              <w:t>（70分）</w:t>
            </w:r>
          </w:p>
        </w:tc>
        <w:tc>
          <w:tcPr>
            <w:tcW w:w="1457" w:type="dxa"/>
            <w:vMerge w:val="restart"/>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（一）规范健康体检，开展高危人群筛查与干预，加强心脑血管疾病、癌症等重大慢性病的早期发现与管理。</w:t>
            </w:r>
            <w:r>
              <w:rPr>
                <w:rFonts w:hint="eastAsia" w:ascii="仿宋" w:hAnsi="仿宋"/>
                <w:sz w:val="24"/>
              </w:rPr>
              <w:t>（16分）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1.开展学生、老年人等重点人群和职工定期健康体检和健康指导。</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（1）学生健康体检率≥90%，得2分；80%</w:t>
            </w:r>
            <w:r>
              <w:rPr>
                <w:rFonts w:hint="eastAsia" w:ascii="仿宋" w:hAnsi="仿宋" w:cs="仿宋_GB2312"/>
                <w:sz w:val="24"/>
                <w:lang w:eastAsia="zh-CN"/>
              </w:rPr>
              <w:t>—</w:t>
            </w:r>
            <w:r>
              <w:rPr>
                <w:rFonts w:hint="eastAsia" w:ascii="仿宋" w:hAnsi="仿宋"/>
                <w:sz w:val="24"/>
                <w:lang w:eastAsia="zh-CN"/>
              </w:rPr>
              <w:t>90%，得1分。</w:t>
            </w:r>
          </w:p>
          <w:p>
            <w:pPr>
              <w:widowControl/>
              <w:suppressAutoHyphens/>
              <w:textAlignment w:val="top"/>
              <w:rPr>
                <w:rFonts w:ascii="仿宋" w:hAnsi="仿宋"/>
                <w:sz w:val="24"/>
                <w:lang w:eastAsia="zh-CN"/>
              </w:rPr>
            </w:pPr>
            <w:r>
              <w:rPr>
                <w:rFonts w:hint="eastAsia" w:ascii="仿宋" w:hAnsi="仿宋"/>
                <w:b/>
                <w:bCs/>
                <w:sz w:val="24"/>
                <w:lang w:eastAsia="zh-CN"/>
              </w:rPr>
              <w:t>复审</w:t>
            </w:r>
            <w:r>
              <w:rPr>
                <w:rFonts w:hint="eastAsia" w:ascii="仿宋" w:hAnsi="仿宋"/>
                <w:sz w:val="24"/>
                <w:lang w:eastAsia="zh-CN"/>
              </w:rPr>
              <w:t>：学校对学生健康体检结果进行分析、评估和反馈的覆盖率≥50%，得2分。</w:t>
            </w:r>
          </w:p>
          <w:p>
            <w:pPr>
              <w:widowControl/>
              <w:suppressAutoHyphens/>
              <w:textAlignment w:val="top"/>
              <w:rPr>
                <w:rFonts w:ascii="仿宋" w:hAnsi="仿宋"/>
                <w:sz w:val="24"/>
                <w:lang w:eastAsia="zh-CN"/>
              </w:rPr>
            </w:pPr>
            <w:r>
              <w:rPr>
                <w:rFonts w:hint="eastAsia" w:ascii="仿宋" w:hAnsi="仿宋"/>
                <w:sz w:val="24"/>
                <w:lang w:eastAsia="zh-CN"/>
              </w:rPr>
              <w:t>（2）65岁及以上老年人健康体检率≥90%，得2分；80%</w:t>
            </w:r>
            <w:r>
              <w:rPr>
                <w:rFonts w:hint="eastAsia" w:ascii="仿宋" w:hAnsi="仿宋" w:cs="仿宋_GB2312"/>
                <w:sz w:val="24"/>
                <w:lang w:eastAsia="zh-CN"/>
              </w:rPr>
              <w:t>—</w:t>
            </w:r>
            <w:r>
              <w:rPr>
                <w:rFonts w:hint="eastAsia" w:ascii="仿宋" w:hAnsi="仿宋"/>
                <w:sz w:val="24"/>
                <w:lang w:eastAsia="zh-CN"/>
              </w:rPr>
              <w:t>90%，1分；80%以下0分。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（3）每2年1次体检并开展健康指导的机关事业单位和员工数超过50人的企业的覆盖率≥50%，得2分；40%</w:t>
            </w:r>
            <w:r>
              <w:rPr>
                <w:rFonts w:hint="eastAsia" w:ascii="仿宋" w:hAnsi="仿宋" w:cs="仿宋_GB2312"/>
                <w:sz w:val="24"/>
                <w:lang w:eastAsia="zh-CN"/>
              </w:rPr>
              <w:t>—</w:t>
            </w:r>
            <w:r>
              <w:rPr>
                <w:rFonts w:hint="eastAsia" w:ascii="仿宋" w:hAnsi="仿宋"/>
                <w:sz w:val="24"/>
                <w:lang w:eastAsia="zh-CN"/>
              </w:rPr>
              <w:t>50%，得1分。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7"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sz w:val="24"/>
                <w:lang w:eastAsia="zh-CN"/>
              </w:rPr>
            </w:pPr>
          </w:p>
          <w:p>
            <w:pPr>
              <w:widowControl/>
              <w:suppressAutoHyphens/>
              <w:textAlignment w:val="top"/>
              <w:rPr>
                <w:rFonts w:ascii="仿宋" w:hAnsi="仿宋"/>
                <w:sz w:val="24"/>
                <w:lang w:eastAsia="zh-CN"/>
              </w:rPr>
            </w:pP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2.应用推广成熟的适宜技术，早期发现诊治患者，及时纳入基本公共卫生服务管理。</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（1）各级医疗机构首诊测血压率达到100%，得1分。</w:t>
            </w:r>
          </w:p>
          <w:p>
            <w:pPr>
              <w:widowControl/>
              <w:suppressAutoHyphens/>
              <w:textAlignment w:val="top"/>
              <w:rPr>
                <w:rFonts w:ascii="仿宋" w:hAnsi="仿宋"/>
                <w:sz w:val="24"/>
                <w:lang w:eastAsia="zh-CN"/>
              </w:rPr>
            </w:pPr>
            <w:r>
              <w:rPr>
                <w:rFonts w:hint="eastAsia" w:ascii="仿宋" w:hAnsi="仿宋"/>
                <w:sz w:val="24"/>
                <w:lang w:eastAsia="zh-CN"/>
              </w:rPr>
              <w:t>（2）开展心脑血管疾病、重点癌症、糖尿病、慢性阻塞性肺病等重大慢性病的筛查和早期诊断，每1项得1分，共得4分。</w:t>
            </w:r>
          </w:p>
          <w:p>
            <w:pPr>
              <w:widowControl/>
              <w:suppressAutoHyphens/>
              <w:textAlignment w:val="top"/>
              <w:rPr>
                <w:rFonts w:ascii="仿宋" w:hAnsi="仿宋"/>
                <w:sz w:val="24"/>
                <w:lang w:eastAsia="zh-CN"/>
              </w:rPr>
            </w:pPr>
            <w:r>
              <w:rPr>
                <w:rFonts w:hint="eastAsia" w:ascii="仿宋" w:hAnsi="仿宋"/>
                <w:sz w:val="24"/>
                <w:lang w:eastAsia="zh-CN"/>
              </w:rPr>
              <w:t>（3）在二级及以上医疗机构开展脑卒中、冠心病和重点癌症的机会性筛查，得1分。</w:t>
            </w:r>
          </w:p>
          <w:p>
            <w:pPr>
              <w:widowControl/>
              <w:suppressAutoHyphens/>
              <w:textAlignment w:val="top"/>
              <w:rPr>
                <w:rFonts w:ascii="仿宋" w:hAnsi="仿宋"/>
                <w:sz w:val="24"/>
                <w:lang w:eastAsia="zh-CN"/>
              </w:rPr>
            </w:pPr>
            <w:r>
              <w:rPr>
                <w:rFonts w:hint="eastAsia" w:ascii="仿宋" w:hAnsi="仿宋"/>
                <w:sz w:val="24"/>
                <w:lang w:eastAsia="zh-CN"/>
              </w:rPr>
              <w:t>（4）具备血糖、血脂、简易肺功能测定和大便隐血检测等4种技术并提供服务的社区卫生服务中心和乡镇卫生院的覆盖率≥70%，得2分；50%</w:t>
            </w:r>
            <w:r>
              <w:rPr>
                <w:rFonts w:hint="eastAsia" w:ascii="仿宋" w:hAnsi="仿宋" w:cs="仿宋_GB2312"/>
                <w:sz w:val="24"/>
                <w:lang w:eastAsia="zh-CN"/>
              </w:rPr>
              <w:t>—</w:t>
            </w:r>
            <w:r>
              <w:rPr>
                <w:rFonts w:hint="eastAsia" w:ascii="仿宋" w:hAnsi="仿宋"/>
                <w:sz w:val="24"/>
                <w:lang w:eastAsia="zh-CN"/>
              </w:rPr>
              <w:t>70%，得1分。</w:t>
            </w:r>
          </w:p>
          <w:p>
            <w:pPr>
              <w:widowControl/>
              <w:suppressAutoHyphens/>
              <w:textAlignment w:val="top"/>
              <w:rPr>
                <w:rFonts w:ascii="仿宋" w:hAnsi="仿宋" w:eastAsia="仿宋_GB2312" w:cs="仿宋_GB2312"/>
                <w:sz w:val="24"/>
              </w:rPr>
            </w:pPr>
            <w:r>
              <w:rPr>
                <w:rFonts w:hint="eastAsia" w:ascii="仿宋" w:hAnsi="仿宋"/>
                <w:sz w:val="24"/>
                <w:lang w:eastAsia="zh-CN"/>
              </w:rPr>
              <w:t>（5）提高加强个人健康档案与健康体检信息的利用，发现高危人群登记率100%，得1分；高危人群纳入健康管理率≥30%，得1分。</w:t>
            </w:r>
            <w:r>
              <w:rPr>
                <w:rFonts w:hint="eastAsia" w:ascii="仿宋" w:hAnsi="仿宋"/>
                <w:sz w:val="24"/>
              </w:rPr>
              <w:t>共得2分。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36"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六、慢性病全程管理</w:t>
            </w:r>
          </w:p>
          <w:p>
            <w:pPr>
              <w:suppressAutoHyphens/>
              <w:jc w:val="center"/>
              <w:rPr>
                <w:rFonts w:ascii="仿宋" w:hAnsi="仿宋" w:eastAsia="仿宋_GB2312" w:cs="仿宋_GB2312"/>
                <w:sz w:val="24"/>
              </w:rPr>
            </w:pPr>
            <w:r>
              <w:rPr>
                <w:rFonts w:hint="eastAsia" w:ascii="仿宋" w:hAnsi="仿宋"/>
                <w:sz w:val="24"/>
              </w:rPr>
              <w:t>（70分）</w:t>
            </w:r>
          </w:p>
        </w:tc>
        <w:tc>
          <w:tcPr>
            <w:tcW w:w="1457" w:type="dxa"/>
            <w:vMerge w:val="restart"/>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（二）建立分级诊疗制度，推进家庭医生签约服务，开展高血压、糖尿病等重点慢性病规范化管理。</w:t>
            </w:r>
            <w:r>
              <w:rPr>
                <w:rFonts w:hint="eastAsia" w:ascii="仿宋" w:hAnsi="仿宋"/>
                <w:sz w:val="24"/>
              </w:rPr>
              <w:t>（20分）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1.开展基层首诊、双向转诊、急慢分治、上下联动的慢性病分级诊疗服务。</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（1）建立分级诊疗制度，得1分。</w:t>
            </w:r>
          </w:p>
          <w:p>
            <w:pPr>
              <w:widowControl/>
              <w:suppressAutoHyphens/>
              <w:textAlignment w:val="top"/>
              <w:rPr>
                <w:rFonts w:ascii="仿宋" w:hAnsi="仿宋"/>
                <w:sz w:val="24"/>
                <w:lang w:eastAsia="zh-CN"/>
              </w:rPr>
            </w:pPr>
            <w:r>
              <w:rPr>
                <w:rFonts w:hint="eastAsia" w:ascii="仿宋" w:hAnsi="仿宋"/>
                <w:sz w:val="24"/>
                <w:lang w:eastAsia="zh-CN"/>
              </w:rPr>
              <w:t>（2）落实并开展高血压与糖尿病基层首诊、双向转诊、急慢分治、上下联动的分级诊疗服务，基层医疗机构门诊量占比≥50%，得2分。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（3）依托信息平台实现分级诊疗，得2分。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6"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2.推进家庭医生签约服务，签约团队负责提供约定的基本医疗、公共卫生和健康管理服务。</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（1）家庭医生签约服务覆盖率≥50%，得2分；40%</w:t>
            </w:r>
            <w:r>
              <w:rPr>
                <w:rFonts w:hint="eastAsia" w:ascii="仿宋" w:hAnsi="仿宋" w:cs="仿宋_GB2312"/>
                <w:sz w:val="24"/>
                <w:lang w:eastAsia="zh-CN"/>
              </w:rPr>
              <w:t>—</w:t>
            </w:r>
            <w:r>
              <w:rPr>
                <w:rFonts w:hint="eastAsia" w:ascii="仿宋" w:hAnsi="仿宋"/>
                <w:sz w:val="24"/>
                <w:lang w:eastAsia="zh-CN"/>
              </w:rPr>
              <w:t>50%，得1分。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（2）加强慢性病患者的康复和护理服务，推行医疗处方和运动处方、营养处方“三处方”制度，得1分。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60"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3.提高人群体重、腰围、血压、血糖和血脂知晓率。</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（1）18岁及以上人群健康体重知晓率≥60%，得0.4分。</w:t>
            </w:r>
          </w:p>
          <w:p>
            <w:pPr>
              <w:widowControl/>
              <w:suppressAutoHyphens/>
              <w:textAlignment w:val="top"/>
              <w:rPr>
                <w:rFonts w:ascii="仿宋" w:hAnsi="仿宋"/>
                <w:sz w:val="24"/>
                <w:lang w:eastAsia="zh-CN"/>
              </w:rPr>
            </w:pPr>
            <w:r>
              <w:rPr>
                <w:rFonts w:hint="eastAsia" w:ascii="仿宋" w:hAnsi="仿宋"/>
                <w:sz w:val="24"/>
                <w:lang w:eastAsia="zh-CN"/>
              </w:rPr>
              <w:t>（2）18岁及以上人群正常腰围知晓率≥60%，得0.4分。</w:t>
            </w:r>
          </w:p>
          <w:p>
            <w:pPr>
              <w:widowControl/>
              <w:suppressAutoHyphens/>
              <w:textAlignment w:val="top"/>
              <w:rPr>
                <w:rFonts w:ascii="仿宋" w:hAnsi="仿宋"/>
                <w:sz w:val="24"/>
                <w:lang w:eastAsia="zh-CN"/>
              </w:rPr>
            </w:pPr>
            <w:r>
              <w:rPr>
                <w:rFonts w:hint="eastAsia" w:ascii="仿宋" w:hAnsi="仿宋"/>
                <w:sz w:val="24"/>
                <w:lang w:eastAsia="zh-CN"/>
              </w:rPr>
              <w:t>（3）18岁及以上人群正常血压知晓率≥60%，得0.4分。</w:t>
            </w:r>
          </w:p>
          <w:p>
            <w:pPr>
              <w:widowControl/>
              <w:suppressAutoHyphens/>
              <w:textAlignment w:val="top"/>
              <w:rPr>
                <w:rFonts w:ascii="仿宋" w:hAnsi="仿宋"/>
                <w:sz w:val="24"/>
                <w:lang w:eastAsia="zh-CN"/>
              </w:rPr>
            </w:pPr>
            <w:r>
              <w:rPr>
                <w:rFonts w:hint="eastAsia" w:ascii="仿宋" w:hAnsi="仿宋"/>
                <w:sz w:val="24"/>
                <w:lang w:eastAsia="zh-CN"/>
              </w:rPr>
              <w:t>（4）18岁及以上人群正常血糖知晓率≥30%，得0.4分。</w:t>
            </w:r>
          </w:p>
          <w:p>
            <w:pPr>
              <w:suppressAutoHyphens/>
              <w:rPr>
                <w:rFonts w:ascii="仿宋" w:hAnsi="仿宋" w:eastAsia="仿宋_GB2312" w:cs="仿宋_GB2312"/>
                <w:sz w:val="24"/>
                <w:lang w:eastAsia="zh-CN"/>
              </w:rPr>
            </w:pPr>
            <w:r>
              <w:rPr>
                <w:rFonts w:hint="eastAsia" w:ascii="仿宋" w:hAnsi="仿宋"/>
                <w:sz w:val="24"/>
                <w:lang w:eastAsia="zh-CN"/>
              </w:rPr>
              <w:t>（5）18岁及以上人群正常血脂知晓率≥30%，得0.4分。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2"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4.提高人群高血压、糖尿病知晓率。</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（1）30岁以上高血压知晓率≥60%，得1分；55%</w:t>
            </w:r>
            <w:r>
              <w:rPr>
                <w:rFonts w:hint="eastAsia" w:ascii="仿宋" w:hAnsi="仿宋" w:cs="仿宋_GB2312"/>
                <w:sz w:val="24"/>
                <w:lang w:eastAsia="zh-CN"/>
              </w:rPr>
              <w:t>—</w:t>
            </w:r>
            <w:r>
              <w:rPr>
                <w:rFonts w:hint="eastAsia" w:ascii="仿宋" w:hAnsi="仿宋"/>
                <w:sz w:val="24"/>
                <w:lang w:eastAsia="zh-CN"/>
              </w:rPr>
              <w:t>60%，得0.5分。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（2）18岁以上糖尿病知晓率≥55%，得1分；50-55％，得0.5分。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9"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5.提高高血压、糖尿病患者规范管理率。</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（1）35岁以上高血压患者规范管理率≥70%，得2分；60%</w:t>
            </w:r>
            <w:r>
              <w:rPr>
                <w:rFonts w:hint="eastAsia" w:ascii="仿宋" w:hAnsi="仿宋" w:cs="仿宋_GB2312"/>
                <w:sz w:val="24"/>
                <w:lang w:eastAsia="zh-CN"/>
              </w:rPr>
              <w:t>—</w:t>
            </w:r>
            <w:r>
              <w:rPr>
                <w:rFonts w:hint="eastAsia" w:ascii="仿宋" w:hAnsi="仿宋"/>
                <w:sz w:val="24"/>
                <w:lang w:eastAsia="zh-CN"/>
              </w:rPr>
              <w:t>70%，得1分。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（2）35岁以上糖尿病患者规范管理率≥70%，得2分；60%</w:t>
            </w:r>
            <w:r>
              <w:rPr>
                <w:rFonts w:hint="eastAsia" w:ascii="仿宋" w:hAnsi="仿宋" w:cs="仿宋_GB2312"/>
                <w:sz w:val="24"/>
                <w:lang w:eastAsia="zh-CN"/>
              </w:rPr>
              <w:t>—</w:t>
            </w:r>
            <w:r>
              <w:rPr>
                <w:rFonts w:hint="eastAsia" w:ascii="仿宋" w:hAnsi="仿宋"/>
                <w:sz w:val="24"/>
                <w:lang w:eastAsia="zh-CN"/>
              </w:rPr>
              <w:t>70%，得1分。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6"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6.提高管理人群高血压、糖尿病患者的控制率。</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（1）高血压患者血压控制率高于全省平均水平5%及以上，2分；3%</w:t>
            </w:r>
            <w:r>
              <w:rPr>
                <w:rFonts w:hint="eastAsia" w:ascii="仿宋" w:hAnsi="仿宋" w:cs="仿宋_GB2312"/>
                <w:sz w:val="24"/>
                <w:lang w:eastAsia="zh-CN"/>
              </w:rPr>
              <w:t>—</w:t>
            </w:r>
            <w:r>
              <w:rPr>
                <w:rFonts w:hint="eastAsia" w:ascii="仿宋" w:hAnsi="仿宋"/>
                <w:sz w:val="24"/>
                <w:lang w:eastAsia="zh-CN"/>
              </w:rPr>
              <w:t>5%，1分。</w:t>
            </w:r>
          </w:p>
          <w:p>
            <w:pPr>
              <w:widowControl/>
              <w:suppressAutoHyphens/>
              <w:textAlignment w:val="top"/>
              <w:rPr>
                <w:rFonts w:ascii="仿宋" w:hAnsi="仿宋" w:eastAsia="仿宋_GB2312" w:cs="仿宋_GB2312"/>
                <w:sz w:val="24"/>
              </w:rPr>
            </w:pPr>
            <w:r>
              <w:rPr>
                <w:rFonts w:hint="eastAsia" w:ascii="仿宋" w:hAnsi="仿宋"/>
                <w:sz w:val="24"/>
              </w:rPr>
              <w:t>（2）糖尿病患者血糖控制率高于全省平均水平5%及以上，2分；</w:t>
            </w:r>
            <w:r>
              <w:rPr>
                <w:rFonts w:hint="eastAsia" w:ascii="仿宋" w:hAnsi="仿宋"/>
                <w:sz w:val="24"/>
                <w:lang w:eastAsia="zh-CN"/>
              </w:rPr>
              <w:t>3%</w:t>
            </w:r>
            <w:r>
              <w:rPr>
                <w:rFonts w:hint="eastAsia" w:ascii="仿宋" w:hAnsi="仿宋" w:cs="仿宋_GB2312"/>
                <w:sz w:val="24"/>
                <w:lang w:eastAsia="zh-CN"/>
              </w:rPr>
              <w:t>—</w:t>
            </w:r>
            <w:r>
              <w:rPr>
                <w:rFonts w:hint="eastAsia" w:ascii="仿宋" w:hAnsi="仿宋"/>
                <w:sz w:val="24"/>
                <w:lang w:eastAsia="zh-CN"/>
              </w:rPr>
              <w:t>5%</w:t>
            </w:r>
            <w:r>
              <w:rPr>
                <w:rFonts w:hint="eastAsia" w:ascii="仿宋" w:hAnsi="仿宋"/>
                <w:sz w:val="24"/>
              </w:rPr>
              <w:t>，1分。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0"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六、慢性病全程管理</w:t>
            </w:r>
          </w:p>
          <w:p>
            <w:pPr>
              <w:suppressAutoHyphens/>
              <w:jc w:val="center"/>
              <w:rPr>
                <w:rFonts w:ascii="仿宋" w:hAnsi="仿宋" w:eastAsia="仿宋_GB2312" w:cs="仿宋_GB2312"/>
                <w:sz w:val="24"/>
              </w:rPr>
            </w:pPr>
            <w:r>
              <w:rPr>
                <w:rFonts w:hint="eastAsia" w:ascii="仿宋" w:hAnsi="仿宋"/>
                <w:sz w:val="24"/>
              </w:rPr>
              <w:t>（70分）</w:t>
            </w:r>
          </w:p>
        </w:tc>
        <w:tc>
          <w:tcPr>
            <w:tcW w:w="1457" w:type="dxa"/>
            <w:vMerge w:val="restart"/>
            <w:vAlign w:val="center"/>
          </w:tcPr>
          <w:p>
            <w:pPr>
              <w:widowControl/>
              <w:suppressAutoHyphens/>
              <w:textAlignment w:val="center"/>
              <w:rPr>
                <w:rFonts w:ascii="仿宋" w:hAnsi="仿宋"/>
                <w:sz w:val="24"/>
                <w:lang w:eastAsia="zh-CN"/>
              </w:rPr>
            </w:pPr>
            <w:r>
              <w:rPr>
                <w:rFonts w:hint="eastAsia" w:ascii="仿宋" w:hAnsi="仿宋"/>
                <w:sz w:val="24"/>
                <w:lang w:eastAsia="zh-CN"/>
              </w:rPr>
              <w:t>（三）完善区域信息平台，实现医疗卫生机构间互联互通、信息共享。</w:t>
            </w:r>
          </w:p>
          <w:p>
            <w:pPr>
              <w:widowControl/>
              <w:suppressAutoHyphens/>
              <w:textAlignment w:val="center"/>
              <w:rPr>
                <w:rFonts w:ascii="仿宋" w:hAnsi="仿宋" w:eastAsia="仿宋_GB2312" w:cs="仿宋_GB2312"/>
                <w:sz w:val="24"/>
              </w:rPr>
            </w:pPr>
            <w:r>
              <w:rPr>
                <w:rFonts w:hint="eastAsia" w:ascii="仿宋" w:hAnsi="仿宋"/>
                <w:sz w:val="24"/>
              </w:rPr>
              <w:t>（15分）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1.建立区域卫生信息平台，实现公共卫生服务、诊疗信息互联互通。</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（1）建立区域卫生健康信息平台，得4分。</w:t>
            </w:r>
          </w:p>
          <w:p>
            <w:pPr>
              <w:widowControl/>
              <w:suppressAutoHyphens/>
              <w:textAlignment w:val="top"/>
              <w:rPr>
                <w:rFonts w:ascii="仿宋" w:hAnsi="仿宋"/>
                <w:sz w:val="24"/>
                <w:lang w:eastAsia="zh-CN"/>
              </w:rPr>
            </w:pPr>
            <w:r>
              <w:rPr>
                <w:rFonts w:hint="eastAsia" w:ascii="仿宋" w:hAnsi="仿宋"/>
                <w:sz w:val="24"/>
                <w:lang w:eastAsia="zh-CN"/>
              </w:rPr>
              <w:t>（2）专业公共卫生机构、二级及以上医院和基层医疗卫生机构之间实现互联互通和信息共享，得3分。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（3）实现电子健康档案和电子病历的连续记录和信息共享，得3分。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0"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widowControl/>
              <w:suppressAutoHyphens/>
              <w:textAlignment w:val="center"/>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2.应用互联网+、健康大数据提供便捷、高效的健康管理服务。</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（1）应用互联网+技术为签约服务的患者提供健康管理和诊疗服务，得3分。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（2）应用健康大数据为签约服务的患者提供健康管理和诊疗服务，得2分；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8"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restart"/>
            <w:vAlign w:val="center"/>
          </w:tcPr>
          <w:p>
            <w:pPr>
              <w:suppressAutoHyphens/>
              <w:rPr>
                <w:rFonts w:ascii="仿宋" w:hAnsi="仿宋" w:eastAsia="仿宋_GB2312" w:cs="仿宋_GB2312"/>
                <w:sz w:val="24"/>
              </w:rPr>
            </w:pPr>
            <w:r>
              <w:rPr>
                <w:rFonts w:hint="eastAsia" w:ascii="仿宋" w:hAnsi="仿宋"/>
                <w:sz w:val="24"/>
                <w:lang w:eastAsia="zh-CN"/>
              </w:rPr>
              <w:t>（四）中西医并重，发挥中医药在慢性病预防、保健、诊疗、康复中的作用。</w:t>
            </w:r>
            <w:r>
              <w:rPr>
                <w:rFonts w:hint="eastAsia" w:ascii="仿宋" w:hAnsi="仿宋"/>
                <w:sz w:val="24"/>
              </w:rPr>
              <w:t>（7分）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1.辖区各社区卫生服务中心（站）、乡镇卫生院、村卫生室提供非药物疗法情况。</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（1）乡镇卫生院/社区卫生服务中心提供6类以上中医非药物疗法的比例达到100%，得2分。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（2）社区卫生服务站/村卫生室提供4类以上中医非药物疗法的比例达到70%，得2分；70%以下不得分。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5"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widowControl/>
              <w:suppressAutoHyphens/>
              <w:textAlignment w:val="center"/>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2.开展中医药养生保健知识的宣传及中医适宜技术推广。</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（1）宣传中医药养生保健知识，得1分。</w:t>
            </w:r>
          </w:p>
          <w:p>
            <w:pPr>
              <w:widowControl/>
              <w:suppressAutoHyphens/>
              <w:textAlignment w:val="top"/>
              <w:rPr>
                <w:rFonts w:ascii="仿宋" w:hAnsi="仿宋"/>
                <w:sz w:val="24"/>
                <w:lang w:eastAsia="zh-CN"/>
              </w:rPr>
            </w:pPr>
            <w:r>
              <w:rPr>
                <w:rFonts w:hint="eastAsia" w:ascii="仿宋" w:hAnsi="仿宋"/>
                <w:sz w:val="24"/>
                <w:lang w:eastAsia="zh-CN"/>
              </w:rPr>
              <w:t>（2）推广使用中医防治慢性病适宜技术，得1分。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（3）对65岁以上老年人提供中医药健康管理，得1分。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0"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restart"/>
            <w:vAlign w:val="center"/>
          </w:tcPr>
          <w:p>
            <w:pPr>
              <w:suppressAutoHyphens/>
              <w:rPr>
                <w:rFonts w:ascii="仿宋" w:hAnsi="仿宋" w:eastAsia="仿宋_GB2312" w:cs="仿宋_GB2312"/>
                <w:sz w:val="24"/>
              </w:rPr>
            </w:pPr>
            <w:r>
              <w:rPr>
                <w:rFonts w:hint="eastAsia" w:ascii="仿宋" w:hAnsi="仿宋"/>
                <w:sz w:val="24"/>
                <w:lang w:eastAsia="zh-CN"/>
              </w:rPr>
              <w:t>（五）做好基本医疗保险、城乡居民大病保险和医疗救助重大疾病保障的衔接。</w:t>
            </w:r>
            <w:r>
              <w:rPr>
                <w:rFonts w:hint="eastAsia" w:ascii="仿宋" w:hAnsi="仿宋"/>
                <w:sz w:val="24"/>
              </w:rPr>
              <w:t>（4分）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1.做好基本医疗保险、城乡居民大病保险和医疗救助重大疾病保障。</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（1）落实基本医疗保险、大病保险和医疗救助重大疾病保障等相关政策，得1分。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（2）有提高签约慢性病患者的医疗保障水平和残疾人、流动人口、低收入等人群医疗救助水平的具体措施，得1分。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0"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widowControl/>
              <w:suppressAutoHyphens/>
              <w:textAlignment w:val="center"/>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2.基层医疗卫生机构优先配备使用基本药物，根据省级医保药品报销目录，配备使用一定数量或比例的药品。</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（1）基层医疗卫生机构按基本药物目录配置，得1分。</w:t>
            </w:r>
          </w:p>
          <w:p>
            <w:pPr>
              <w:widowControl/>
              <w:suppressAutoHyphens/>
              <w:textAlignment w:val="top"/>
              <w:rPr>
                <w:rFonts w:ascii="仿宋" w:hAnsi="仿宋"/>
                <w:sz w:val="24"/>
                <w:lang w:eastAsia="zh-CN"/>
              </w:rPr>
            </w:pPr>
            <w:r>
              <w:rPr>
                <w:rFonts w:hint="eastAsia" w:ascii="仿宋" w:hAnsi="仿宋"/>
                <w:b/>
                <w:bCs/>
                <w:sz w:val="24"/>
                <w:lang w:eastAsia="zh-CN"/>
              </w:rPr>
              <w:t>复审</w:t>
            </w:r>
            <w:r>
              <w:rPr>
                <w:rFonts w:hint="eastAsia" w:ascii="仿宋" w:hAnsi="仿宋"/>
                <w:sz w:val="24"/>
                <w:lang w:eastAsia="zh-CN"/>
              </w:rPr>
              <w:t>：基层医疗卫生服务机构设立药物绿色通道（包括延伸处方或长处方）得1分。</w:t>
            </w:r>
          </w:p>
          <w:p>
            <w:pPr>
              <w:widowControl/>
              <w:suppressAutoHyphens/>
              <w:textAlignment w:val="top"/>
              <w:rPr>
                <w:rFonts w:ascii="仿宋" w:hAnsi="仿宋" w:eastAsia="仿宋_GB2312" w:cs="仿宋_GB2312"/>
                <w:sz w:val="24"/>
              </w:rPr>
            </w:pPr>
            <w:r>
              <w:rPr>
                <w:rFonts w:hint="eastAsia" w:ascii="仿宋" w:hAnsi="仿宋"/>
                <w:sz w:val="24"/>
                <w:lang w:eastAsia="zh-CN"/>
              </w:rPr>
              <w:t>（2）按省级卫生健康主管部门规定和要求配备使用医保报销药物。</w:t>
            </w:r>
            <w:r>
              <w:rPr>
                <w:rFonts w:hint="eastAsia" w:ascii="仿宋" w:hAnsi="仿宋"/>
                <w:sz w:val="24"/>
              </w:rPr>
              <w:t>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0"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Align w:val="center"/>
          </w:tcPr>
          <w:p>
            <w:pPr>
              <w:suppressAutoHyphens/>
              <w:rPr>
                <w:rFonts w:ascii="仿宋" w:hAnsi="仿宋" w:eastAsia="仿宋_GB2312" w:cs="仿宋_GB2312"/>
                <w:sz w:val="24"/>
              </w:rPr>
            </w:pPr>
            <w:r>
              <w:rPr>
                <w:rFonts w:hint="eastAsia" w:ascii="仿宋" w:hAnsi="仿宋"/>
                <w:sz w:val="24"/>
                <w:lang w:eastAsia="zh-CN"/>
              </w:rPr>
              <w:t>（六）动员社会力量参与慢性病防控工作，促进医养结合。</w:t>
            </w:r>
            <w:r>
              <w:rPr>
                <w:rFonts w:hint="eastAsia" w:ascii="仿宋" w:hAnsi="仿宋"/>
                <w:sz w:val="24"/>
              </w:rPr>
              <w:t>（8分）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1.政府引导、市场驱动、社会力量参与，为慢性病患者提供健康管理服务。</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（1）有效引进社会资本参与慢性病防控，得1分。</w:t>
            </w:r>
          </w:p>
          <w:p>
            <w:pPr>
              <w:widowControl/>
              <w:suppressAutoHyphens/>
              <w:textAlignment w:val="top"/>
              <w:rPr>
                <w:rFonts w:ascii="仿宋" w:hAnsi="仿宋"/>
                <w:sz w:val="24"/>
                <w:lang w:eastAsia="zh-CN"/>
              </w:rPr>
            </w:pPr>
            <w:r>
              <w:rPr>
                <w:rFonts w:hint="eastAsia" w:ascii="仿宋" w:hAnsi="仿宋"/>
                <w:sz w:val="24"/>
                <w:lang w:eastAsia="zh-CN"/>
              </w:rPr>
              <w:t>（2）商业健康保险参与医疗救助，得1分。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（3）通过向社会力量购买服务的方式，为慢性病患者提供健康管理服务，得1分。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40"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六、慢性病全程管理</w:t>
            </w:r>
          </w:p>
          <w:p>
            <w:pPr>
              <w:suppressAutoHyphens/>
              <w:jc w:val="center"/>
              <w:rPr>
                <w:rFonts w:ascii="仿宋" w:hAnsi="仿宋" w:eastAsia="仿宋_GB2312" w:cs="仿宋_GB2312"/>
                <w:sz w:val="24"/>
              </w:rPr>
            </w:pPr>
            <w:r>
              <w:rPr>
                <w:rFonts w:hint="eastAsia" w:ascii="仿宋" w:hAnsi="仿宋"/>
                <w:sz w:val="24"/>
              </w:rPr>
              <w:t>（70分）</w:t>
            </w:r>
          </w:p>
        </w:tc>
        <w:tc>
          <w:tcPr>
            <w:tcW w:w="1457" w:type="dxa"/>
            <w:vMerge w:val="restart"/>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（六）动员社会力量参与慢性病防控工作，促进医养结合。</w:t>
            </w:r>
            <w:r>
              <w:rPr>
                <w:rFonts w:hint="eastAsia" w:ascii="仿宋" w:hAnsi="仿宋"/>
                <w:sz w:val="24"/>
              </w:rPr>
              <w:t>（8分）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2.促进慢性病全程防治管理服务与社区居家养老和机构养老服务融合，</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（1）辖区内每个街道（乡镇除外）均设有为居家养老的半失能老年人提供日间托养服务的社区老年人日间照料中心，得1分。</w:t>
            </w:r>
          </w:p>
          <w:p>
            <w:pPr>
              <w:widowControl/>
              <w:suppressAutoHyphens/>
              <w:textAlignment w:val="top"/>
              <w:rPr>
                <w:rFonts w:ascii="仿宋" w:hAnsi="仿宋"/>
                <w:sz w:val="24"/>
                <w:lang w:eastAsia="zh-CN"/>
              </w:rPr>
            </w:pPr>
            <w:r>
              <w:rPr>
                <w:rFonts w:hint="eastAsia" w:ascii="仿宋" w:hAnsi="仿宋"/>
                <w:sz w:val="24"/>
                <w:lang w:eastAsia="zh-CN"/>
              </w:rPr>
              <w:t>（2）以不同形式为入住老年人提供医疗卫生服务的养老机构比例达到100%，得1分。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（3）设置老年医学科的二级及以上综合性医院比例达到70%，得1分；50%</w:t>
            </w:r>
            <w:r>
              <w:rPr>
                <w:rFonts w:hint="eastAsia" w:ascii="仿宋" w:hAnsi="仿宋" w:cs="仿宋_GB2312"/>
                <w:sz w:val="24"/>
                <w:lang w:eastAsia="zh-CN"/>
              </w:rPr>
              <w:t>—</w:t>
            </w:r>
            <w:r>
              <w:rPr>
                <w:rFonts w:hint="eastAsia" w:ascii="仿宋" w:hAnsi="仿宋"/>
                <w:sz w:val="24"/>
                <w:lang w:eastAsia="zh-CN"/>
              </w:rPr>
              <w:t>70%，得0.5分。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5"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widowControl/>
              <w:suppressAutoHyphens/>
              <w:textAlignment w:val="center"/>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3.基层医疗卫生机构为失能失智或罹患慢性病的老年人提供上门巡诊等延伸服务。</w:t>
            </w:r>
          </w:p>
        </w:tc>
        <w:tc>
          <w:tcPr>
            <w:tcW w:w="775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基层医疗卫生机构为失能失智或罹患慢性病的老年人提供上门巡诊、家庭病床、医疗照护、居家护理等延伸服务2项以上，得2分。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1"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七、监测</w:t>
            </w:r>
          </w:p>
          <w:p>
            <w:pPr>
              <w:widowControl/>
              <w:suppressAutoHyphens/>
              <w:jc w:val="center"/>
              <w:textAlignment w:val="center"/>
              <w:rPr>
                <w:rFonts w:ascii="仿宋" w:hAnsi="仿宋"/>
                <w:sz w:val="24"/>
              </w:rPr>
            </w:pPr>
            <w:r>
              <w:rPr>
                <w:rFonts w:hint="eastAsia" w:ascii="仿宋" w:hAnsi="仿宋"/>
                <w:sz w:val="24"/>
              </w:rPr>
              <w:t>评估</w:t>
            </w:r>
          </w:p>
          <w:p>
            <w:pPr>
              <w:widowControl/>
              <w:suppressAutoHyphens/>
              <w:jc w:val="center"/>
              <w:textAlignment w:val="center"/>
              <w:rPr>
                <w:rFonts w:ascii="仿宋" w:hAnsi="仿宋" w:eastAsia="仿宋_GB2312" w:cs="仿宋_GB2312"/>
                <w:sz w:val="24"/>
              </w:rPr>
            </w:pPr>
            <w:r>
              <w:rPr>
                <w:rFonts w:hint="eastAsia" w:ascii="仿宋" w:hAnsi="仿宋"/>
                <w:sz w:val="24"/>
              </w:rPr>
              <w:t>（30分）</w:t>
            </w:r>
          </w:p>
        </w:tc>
        <w:tc>
          <w:tcPr>
            <w:tcW w:w="1457" w:type="dxa"/>
            <w:vMerge w:val="restart"/>
            <w:vAlign w:val="center"/>
          </w:tcPr>
          <w:p>
            <w:pPr>
              <w:suppressAutoHyphens/>
              <w:rPr>
                <w:rFonts w:ascii="仿宋" w:hAnsi="仿宋" w:eastAsia="仿宋_GB2312" w:cs="仿宋_GB2312"/>
                <w:sz w:val="24"/>
              </w:rPr>
            </w:pPr>
            <w:r>
              <w:rPr>
                <w:rFonts w:hint="eastAsia" w:ascii="仿宋" w:hAnsi="仿宋"/>
                <w:sz w:val="24"/>
                <w:lang w:eastAsia="zh-CN"/>
              </w:rPr>
              <w:t>（一）开展过程质量控制和重点慢性病监测工作。</w:t>
            </w:r>
            <w:r>
              <w:rPr>
                <w:rFonts w:hint="eastAsia" w:ascii="仿宋" w:hAnsi="仿宋"/>
                <w:sz w:val="24"/>
              </w:rPr>
              <w:t>（20分）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1.规范开展覆盖辖区慢性病及相关危险因素监测，掌握辖区重点慢性病状况、影响因素和疾病负担。</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全人群的死因监测、心脑血管事件监测、肿瘤随访登记、慢阻肺监测、慢性病与营养监测等重大慢性病登记报告达到基本技术指标，向政府和有关部门提交监测报告。</w:t>
            </w:r>
          </w:p>
          <w:p>
            <w:pPr>
              <w:widowControl/>
              <w:suppressAutoHyphens/>
              <w:textAlignment w:val="top"/>
              <w:rPr>
                <w:rFonts w:ascii="仿宋" w:hAnsi="仿宋"/>
                <w:sz w:val="24"/>
                <w:lang w:eastAsia="zh-CN"/>
              </w:rPr>
            </w:pPr>
            <w:r>
              <w:rPr>
                <w:rFonts w:hint="eastAsia" w:ascii="仿宋" w:hAnsi="仿宋"/>
                <w:sz w:val="24"/>
                <w:lang w:eastAsia="zh-CN"/>
              </w:rPr>
              <w:t>（1）死因监测，得2分。</w:t>
            </w:r>
          </w:p>
          <w:p>
            <w:pPr>
              <w:widowControl/>
              <w:suppressAutoHyphens/>
              <w:textAlignment w:val="top"/>
              <w:rPr>
                <w:rFonts w:ascii="仿宋" w:hAnsi="仿宋"/>
                <w:sz w:val="24"/>
                <w:lang w:eastAsia="zh-CN"/>
              </w:rPr>
            </w:pPr>
            <w:r>
              <w:rPr>
                <w:rFonts w:hint="eastAsia" w:ascii="仿宋" w:hAnsi="仿宋"/>
                <w:sz w:val="24"/>
                <w:lang w:eastAsia="zh-CN"/>
              </w:rPr>
              <w:t>（2）心脑血管事件监测，得2分。</w:t>
            </w:r>
          </w:p>
          <w:p>
            <w:pPr>
              <w:widowControl/>
              <w:suppressAutoHyphens/>
              <w:textAlignment w:val="top"/>
              <w:rPr>
                <w:rFonts w:ascii="仿宋" w:hAnsi="仿宋"/>
                <w:sz w:val="24"/>
                <w:lang w:eastAsia="zh-CN"/>
              </w:rPr>
            </w:pPr>
            <w:r>
              <w:rPr>
                <w:rFonts w:hint="eastAsia" w:ascii="仿宋" w:hAnsi="仿宋"/>
                <w:sz w:val="24"/>
                <w:lang w:eastAsia="zh-CN"/>
              </w:rPr>
              <w:t>（3）肿瘤随访登记，得2分。</w:t>
            </w:r>
          </w:p>
          <w:p>
            <w:pPr>
              <w:widowControl/>
              <w:suppressAutoHyphens/>
              <w:textAlignment w:val="top"/>
              <w:rPr>
                <w:rFonts w:ascii="仿宋" w:hAnsi="仿宋"/>
                <w:sz w:val="24"/>
                <w:lang w:eastAsia="zh-CN"/>
              </w:rPr>
            </w:pPr>
            <w:r>
              <w:rPr>
                <w:rFonts w:hint="eastAsia" w:ascii="仿宋" w:hAnsi="仿宋"/>
                <w:sz w:val="24"/>
                <w:lang w:eastAsia="zh-CN"/>
              </w:rPr>
              <w:t>（4）慢阻肺监测，得2分。</w:t>
            </w:r>
          </w:p>
          <w:p>
            <w:pPr>
              <w:widowControl/>
              <w:suppressAutoHyphens/>
              <w:textAlignment w:val="top"/>
              <w:rPr>
                <w:rFonts w:ascii="仿宋" w:hAnsi="仿宋"/>
                <w:sz w:val="24"/>
                <w:lang w:eastAsia="zh-CN"/>
              </w:rPr>
            </w:pPr>
            <w:r>
              <w:rPr>
                <w:rFonts w:hint="eastAsia" w:ascii="仿宋" w:hAnsi="仿宋"/>
                <w:sz w:val="24"/>
                <w:lang w:eastAsia="zh-CN"/>
              </w:rPr>
              <w:t>（5）每5年1次慢性病与营养监测，得2分。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（6）医院门急诊伤害监测，得1分。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3" w:hRule="atLeast"/>
          <w:jc w:val="center"/>
        </w:trPr>
        <w:tc>
          <w:tcPr>
            <w:tcW w:w="1136" w:type="dxa"/>
            <w:vMerge w:val="continue"/>
            <w:vAlign w:val="center"/>
          </w:tcPr>
          <w:p>
            <w:pPr>
              <w:suppressAutoHyphens/>
              <w:jc w:val="center"/>
              <w:textAlignment w:val="center"/>
              <w:rPr>
                <w:rFonts w:ascii="仿宋" w:hAnsi="仿宋" w:eastAsia="仿宋_GB2312" w:cs="仿宋_GB2312"/>
                <w:sz w:val="24"/>
              </w:rPr>
            </w:pPr>
          </w:p>
        </w:tc>
        <w:tc>
          <w:tcPr>
            <w:tcW w:w="1457" w:type="dxa"/>
            <w:vMerge w:val="continue"/>
            <w:vAlign w:val="center"/>
          </w:tcPr>
          <w:p>
            <w:pPr>
              <w:widowControl/>
              <w:suppressAutoHyphens/>
              <w:textAlignment w:val="center"/>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2.慢性病监测数据互联互通。</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（1）利用省、市、县三级人口健康信息、医疗机构HIS系统和疾病预防控制信息管理系统，实现重点慢性病监测数据互联互通，得4分；实现慢性病监测与管理信息互联互通，得1分。共得5分。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（2）慢性病监测数据管理利用得到省级及以上卫生行政部门认可推广，得4分。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2" w:hRule="atLeast"/>
          <w:jc w:val="center"/>
        </w:trPr>
        <w:tc>
          <w:tcPr>
            <w:tcW w:w="1136" w:type="dxa"/>
            <w:vAlign w:val="center"/>
          </w:tcPr>
          <w:p>
            <w:pPr>
              <w:widowControl/>
              <w:suppressAutoHyphens/>
              <w:jc w:val="center"/>
              <w:textAlignment w:val="center"/>
              <w:rPr>
                <w:rFonts w:ascii="仿宋" w:hAnsi="仿宋"/>
                <w:sz w:val="24"/>
              </w:rPr>
            </w:pPr>
            <w:r>
              <w:rPr>
                <w:rFonts w:hint="eastAsia" w:ascii="仿宋" w:hAnsi="仿宋"/>
                <w:sz w:val="24"/>
              </w:rPr>
              <w:t>七、监测</w:t>
            </w:r>
          </w:p>
          <w:p>
            <w:pPr>
              <w:widowControl/>
              <w:suppressAutoHyphens/>
              <w:jc w:val="center"/>
              <w:textAlignment w:val="center"/>
              <w:rPr>
                <w:rFonts w:ascii="仿宋" w:hAnsi="仿宋"/>
                <w:sz w:val="24"/>
              </w:rPr>
            </w:pPr>
            <w:r>
              <w:rPr>
                <w:rFonts w:hint="eastAsia" w:ascii="仿宋" w:hAnsi="仿宋"/>
                <w:sz w:val="24"/>
              </w:rPr>
              <w:t>评估</w:t>
            </w:r>
          </w:p>
          <w:p>
            <w:pPr>
              <w:widowControl/>
              <w:suppressAutoHyphens/>
              <w:jc w:val="center"/>
              <w:textAlignment w:val="center"/>
              <w:rPr>
                <w:rFonts w:ascii="仿宋" w:hAnsi="仿宋" w:eastAsia="仿宋_GB2312" w:cs="仿宋_GB2312"/>
                <w:sz w:val="24"/>
              </w:rPr>
            </w:pPr>
            <w:r>
              <w:rPr>
                <w:rFonts w:hint="eastAsia" w:ascii="仿宋" w:hAnsi="仿宋"/>
                <w:sz w:val="24"/>
              </w:rPr>
              <w:t>（30分）</w:t>
            </w:r>
          </w:p>
        </w:tc>
        <w:tc>
          <w:tcPr>
            <w:tcW w:w="1457" w:type="dxa"/>
            <w:vAlign w:val="center"/>
          </w:tcPr>
          <w:p>
            <w:pPr>
              <w:suppressAutoHyphens/>
              <w:rPr>
                <w:rFonts w:ascii="仿宋" w:hAnsi="仿宋" w:eastAsia="仿宋_GB2312" w:cs="仿宋_GB2312"/>
                <w:sz w:val="24"/>
              </w:rPr>
            </w:pPr>
            <w:r>
              <w:rPr>
                <w:rFonts w:hint="eastAsia" w:ascii="仿宋" w:hAnsi="仿宋"/>
                <w:sz w:val="24"/>
                <w:lang w:eastAsia="zh-CN"/>
              </w:rPr>
              <w:t>（二）开展慢性病防控社会因素调查。</w:t>
            </w:r>
            <w:r>
              <w:rPr>
                <w:rFonts w:hint="eastAsia" w:ascii="仿宋" w:hAnsi="仿宋"/>
                <w:sz w:val="24"/>
              </w:rPr>
              <w:t>（10分）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1.辖区每5年开展一次慢性病及社会影响因素状况调查。</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（1）规范制定慢性病及社会影响因素状况调查方案，得2分。</w:t>
            </w:r>
          </w:p>
          <w:p>
            <w:pPr>
              <w:widowControl/>
              <w:suppressAutoHyphens/>
              <w:textAlignment w:val="top"/>
              <w:rPr>
                <w:rFonts w:ascii="仿宋" w:hAnsi="仿宋"/>
                <w:sz w:val="24"/>
                <w:lang w:eastAsia="zh-CN"/>
              </w:rPr>
            </w:pPr>
            <w:r>
              <w:rPr>
                <w:rFonts w:hint="eastAsia" w:ascii="仿宋" w:hAnsi="仿宋"/>
                <w:sz w:val="24"/>
                <w:lang w:eastAsia="zh-CN"/>
              </w:rPr>
              <w:t>（2）综合运用社会学、流行病学及管理学理论与方法开展慢性病及社会影响因素状况调查，完成调查技术报告，得2分。</w:t>
            </w:r>
          </w:p>
          <w:p>
            <w:pPr>
              <w:widowControl/>
              <w:suppressAutoHyphens/>
              <w:textAlignment w:val="top"/>
              <w:rPr>
                <w:rFonts w:ascii="仿宋" w:hAnsi="仿宋"/>
                <w:sz w:val="24"/>
                <w:lang w:eastAsia="zh-CN"/>
              </w:rPr>
            </w:pPr>
            <w:r>
              <w:rPr>
                <w:rFonts w:hint="eastAsia" w:ascii="仿宋" w:hAnsi="仿宋"/>
                <w:sz w:val="24"/>
                <w:lang w:eastAsia="zh-CN"/>
              </w:rPr>
              <w:t>（3）技术报告信息来源权威、准确、多元、综合，报告结构完整，有背景、方法、现状与主要问题、资源分析、预期目标、主要对策与具体措施等内容，得2分。</w:t>
            </w:r>
          </w:p>
          <w:p>
            <w:pPr>
              <w:widowControl/>
              <w:suppressAutoHyphens/>
              <w:textAlignment w:val="top"/>
              <w:rPr>
                <w:rFonts w:ascii="仿宋" w:hAnsi="仿宋"/>
                <w:sz w:val="24"/>
                <w:lang w:eastAsia="zh-CN"/>
              </w:rPr>
            </w:pPr>
            <w:r>
              <w:rPr>
                <w:rFonts w:hint="eastAsia" w:ascii="仿宋" w:hAnsi="仿宋"/>
                <w:sz w:val="24"/>
                <w:lang w:eastAsia="zh-CN"/>
              </w:rPr>
              <w:t>（4）技术报告调查结果清晰、调查依据正确、对策合乎逻辑、目标设定科学、措施设计得当，得2分。</w:t>
            </w:r>
          </w:p>
          <w:p>
            <w:pPr>
              <w:widowControl/>
              <w:suppressAutoHyphens/>
              <w:textAlignment w:val="top"/>
              <w:rPr>
                <w:rFonts w:ascii="仿宋" w:hAnsi="仿宋" w:eastAsia="仿宋_GB2312" w:cs="仿宋_GB2312"/>
                <w:sz w:val="24"/>
                <w:highlight w:val="yellow"/>
                <w:lang w:eastAsia="zh-CN"/>
              </w:rPr>
            </w:pPr>
            <w:r>
              <w:rPr>
                <w:rFonts w:hint="eastAsia" w:ascii="仿宋" w:hAnsi="仿宋"/>
                <w:sz w:val="24"/>
                <w:lang w:eastAsia="zh-CN"/>
              </w:rPr>
              <w:t>（5）技术报告结果用于指引、评估示范区建设及慢性病综合防控工作计划的制定，得2分。</w:t>
            </w:r>
          </w:p>
        </w:tc>
        <w:tc>
          <w:tcPr>
            <w:tcW w:w="1273" w:type="dxa"/>
            <w:vAlign w:val="center"/>
          </w:tcPr>
          <w:p>
            <w:pPr>
              <w:widowControl/>
              <w:suppressAutoHyphens/>
              <w:jc w:val="center"/>
              <w:textAlignment w:val="center"/>
              <w:rPr>
                <w:rFonts w:ascii="仿宋" w:hAnsi="仿宋" w:eastAsia="仿宋_GB2312" w:cs="仿宋_GB2312"/>
                <w:sz w:val="24"/>
                <w:highlight w:val="yellow"/>
              </w:rPr>
            </w:pPr>
            <w:r>
              <w:rPr>
                <w:rFonts w:hint="eastAsia" w:ascii="仿宋" w:hAnsi="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39" w:hRule="atLeast"/>
          <w:jc w:val="center"/>
        </w:trPr>
        <w:tc>
          <w:tcPr>
            <w:tcW w:w="1136" w:type="dxa"/>
            <w:vMerge w:val="restart"/>
            <w:vAlign w:val="center"/>
          </w:tcPr>
          <w:p>
            <w:pPr>
              <w:widowControl/>
              <w:suppressAutoHyphens/>
              <w:jc w:val="center"/>
              <w:textAlignment w:val="center"/>
              <w:rPr>
                <w:rFonts w:ascii="仿宋" w:hAnsi="仿宋"/>
                <w:sz w:val="24"/>
              </w:rPr>
            </w:pPr>
            <w:r>
              <w:rPr>
                <w:rFonts w:hint="eastAsia" w:ascii="仿宋" w:hAnsi="仿宋"/>
                <w:sz w:val="24"/>
              </w:rPr>
              <w:t>八、创新</w:t>
            </w:r>
          </w:p>
          <w:p>
            <w:pPr>
              <w:widowControl/>
              <w:suppressAutoHyphens/>
              <w:jc w:val="center"/>
              <w:textAlignment w:val="center"/>
              <w:rPr>
                <w:rFonts w:ascii="仿宋" w:hAnsi="仿宋"/>
                <w:sz w:val="24"/>
              </w:rPr>
            </w:pPr>
            <w:r>
              <w:rPr>
                <w:rFonts w:hint="eastAsia" w:ascii="仿宋" w:hAnsi="仿宋"/>
                <w:sz w:val="24"/>
              </w:rPr>
              <w:t>引领</w:t>
            </w:r>
          </w:p>
          <w:p>
            <w:pPr>
              <w:suppressAutoHyphens/>
              <w:jc w:val="center"/>
              <w:rPr>
                <w:rFonts w:ascii="仿宋" w:hAnsi="仿宋" w:eastAsia="仿宋_GB2312" w:cs="仿宋_GB2312"/>
                <w:sz w:val="24"/>
              </w:rPr>
            </w:pPr>
            <w:r>
              <w:rPr>
                <w:rFonts w:hint="eastAsia" w:ascii="仿宋" w:hAnsi="仿宋"/>
                <w:sz w:val="24"/>
              </w:rPr>
              <w:t>（35分）</w:t>
            </w:r>
          </w:p>
        </w:tc>
        <w:tc>
          <w:tcPr>
            <w:tcW w:w="1457" w:type="dxa"/>
            <w:vMerge w:val="restart"/>
            <w:vAlign w:val="center"/>
          </w:tcPr>
          <w:p>
            <w:pPr>
              <w:widowControl/>
              <w:suppressAutoHyphens/>
              <w:textAlignment w:val="center"/>
              <w:rPr>
                <w:rFonts w:ascii="仿宋" w:hAnsi="仿宋" w:eastAsia="仿宋_GB2312" w:cs="仿宋_GB2312"/>
                <w:sz w:val="24"/>
              </w:rPr>
            </w:pPr>
            <w:r>
              <w:rPr>
                <w:rFonts w:hint="eastAsia" w:ascii="仿宋" w:hAnsi="仿宋"/>
                <w:sz w:val="24"/>
                <w:lang w:eastAsia="zh-CN"/>
              </w:rPr>
              <w:t>慢性病综合防控工作有特色、可复制、可推广。</w:t>
            </w:r>
            <w:r>
              <w:rPr>
                <w:rFonts w:hint="eastAsia" w:ascii="仿宋" w:hAnsi="仿宋"/>
                <w:sz w:val="24"/>
              </w:rPr>
              <w:t>（35分）</w:t>
            </w: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1.倡导慢性病综合防控工作与当地社会、文化等建设和公共服务、公共产品供给相结合。</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慢性病综合防控工作与辖区社区文化建设、健康城市建设、文明创建、公共服务与公共产品等相关项目有机衔接整合，以达到1+1&gt;2的实际效果。建立协同工作机制并有效衔接达5项，得10分；2-4项，得5分。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未达到提高实际效果者分数减半。</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67" w:hRule="atLeast"/>
          <w:jc w:val="center"/>
        </w:trPr>
        <w:tc>
          <w:tcPr>
            <w:tcW w:w="1136" w:type="dxa"/>
            <w:vMerge w:val="continue"/>
            <w:vAlign w:val="center"/>
          </w:tcPr>
          <w:p>
            <w:pPr>
              <w:suppressAutoHyphens/>
              <w:jc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2.总结有创新、特色案例。</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创新特色案例达2个，案例撰写符合要求，得15分；1个，得10分。案例撰写不符合要求者分数减半。</w:t>
            </w:r>
          </w:p>
          <w:p>
            <w:pPr>
              <w:widowControl/>
              <w:suppressAutoHyphens/>
              <w:textAlignment w:val="top"/>
              <w:rPr>
                <w:rFonts w:ascii="仿宋" w:hAnsi="仿宋"/>
                <w:sz w:val="24"/>
                <w:lang w:eastAsia="zh-CN"/>
              </w:rPr>
            </w:pPr>
            <w:r>
              <w:rPr>
                <w:rFonts w:hint="eastAsia" w:ascii="仿宋" w:hAnsi="仿宋"/>
                <w:b/>
                <w:bCs/>
                <w:sz w:val="24"/>
                <w:lang w:eastAsia="zh-CN"/>
              </w:rPr>
              <w:t>复审</w:t>
            </w:r>
            <w:r>
              <w:rPr>
                <w:rFonts w:hint="eastAsia" w:ascii="仿宋" w:hAnsi="仿宋"/>
                <w:sz w:val="24"/>
                <w:lang w:eastAsia="zh-CN"/>
              </w:rPr>
              <w:t>：区别于创建年份的创新特色案例达到3个，撰写符合要求，得15分；2个，得10分。案例撰写不符合要求者分数减半。</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案例撰写要求包括：主题鲜明突出防控重点、技术流程清晰逻辑性强、特色突出创新意识明显、易于被推广可操作性强。</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9" w:hRule="atLeast"/>
          <w:jc w:val="center"/>
        </w:trPr>
        <w:tc>
          <w:tcPr>
            <w:tcW w:w="1136" w:type="dxa"/>
            <w:vMerge w:val="continue"/>
            <w:vAlign w:val="center"/>
          </w:tcPr>
          <w:p>
            <w:pPr>
              <w:widowControl/>
              <w:suppressAutoHyphens/>
              <w:jc w:val="center"/>
              <w:textAlignment w:val="center"/>
              <w:rPr>
                <w:rFonts w:ascii="仿宋" w:hAnsi="仿宋" w:eastAsia="仿宋_GB2312" w:cs="仿宋_GB2312"/>
                <w:sz w:val="24"/>
              </w:rPr>
            </w:pPr>
          </w:p>
        </w:tc>
        <w:tc>
          <w:tcPr>
            <w:tcW w:w="1457" w:type="dxa"/>
            <w:vMerge w:val="continue"/>
            <w:vAlign w:val="center"/>
          </w:tcPr>
          <w:p>
            <w:pPr>
              <w:suppressAutoHyphens/>
              <w:rPr>
                <w:rFonts w:ascii="仿宋" w:hAnsi="仿宋" w:eastAsia="仿宋_GB2312" w:cs="仿宋_GB2312"/>
                <w:sz w:val="24"/>
              </w:rPr>
            </w:pPr>
          </w:p>
        </w:tc>
        <w:tc>
          <w:tcPr>
            <w:tcW w:w="3075" w:type="dxa"/>
            <w:vAlign w:val="center"/>
          </w:tcPr>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3.示范区建设成功经验起到示范引领作用。</w:t>
            </w:r>
          </w:p>
        </w:tc>
        <w:tc>
          <w:tcPr>
            <w:tcW w:w="7755" w:type="dxa"/>
            <w:vAlign w:val="center"/>
          </w:tcPr>
          <w:p>
            <w:pPr>
              <w:widowControl/>
              <w:suppressAutoHyphens/>
              <w:textAlignment w:val="top"/>
              <w:rPr>
                <w:rFonts w:ascii="仿宋" w:hAnsi="仿宋"/>
                <w:sz w:val="24"/>
                <w:lang w:eastAsia="zh-CN"/>
              </w:rPr>
            </w:pPr>
            <w:r>
              <w:rPr>
                <w:rFonts w:hint="eastAsia" w:ascii="仿宋" w:hAnsi="仿宋"/>
                <w:sz w:val="24"/>
                <w:lang w:eastAsia="zh-CN"/>
              </w:rPr>
              <w:t>（1）示范区建设成功经验在本辖区得到有效推广应用2项及以上，得5分；1项，得2分。</w:t>
            </w:r>
          </w:p>
          <w:p>
            <w:pPr>
              <w:widowControl/>
              <w:suppressAutoHyphens/>
              <w:textAlignment w:val="top"/>
              <w:rPr>
                <w:rFonts w:ascii="仿宋" w:hAnsi="仿宋" w:eastAsia="仿宋_GB2312" w:cs="仿宋_GB2312"/>
                <w:sz w:val="24"/>
                <w:lang w:eastAsia="zh-CN"/>
              </w:rPr>
            </w:pPr>
            <w:r>
              <w:rPr>
                <w:rFonts w:hint="eastAsia" w:ascii="仿宋" w:hAnsi="仿宋"/>
                <w:sz w:val="24"/>
                <w:lang w:eastAsia="zh-CN"/>
              </w:rPr>
              <w:t>（2）示范区建设成功经验在辖区外得到有效推广应用2项及以上，得5分；1项，得2分。</w:t>
            </w:r>
          </w:p>
        </w:tc>
        <w:tc>
          <w:tcPr>
            <w:tcW w:w="1273" w:type="dxa"/>
            <w:vAlign w:val="center"/>
          </w:tcPr>
          <w:p>
            <w:pPr>
              <w:widowControl/>
              <w:suppressAutoHyphens/>
              <w:jc w:val="center"/>
              <w:textAlignment w:val="center"/>
              <w:rPr>
                <w:rFonts w:ascii="仿宋" w:hAnsi="仿宋" w:eastAsia="仿宋_GB2312" w:cs="仿宋_GB2312"/>
                <w:sz w:val="24"/>
              </w:rPr>
            </w:pPr>
            <w:r>
              <w:rPr>
                <w:rFonts w:hint="eastAsia" w:ascii="仿宋" w:hAnsi="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1" w:hRule="atLeast"/>
          <w:jc w:val="center"/>
        </w:trPr>
        <w:tc>
          <w:tcPr>
            <w:tcW w:w="1136" w:type="dxa"/>
            <w:vAlign w:val="center"/>
          </w:tcPr>
          <w:p>
            <w:pPr>
              <w:widowControl/>
              <w:suppressAutoHyphens/>
              <w:jc w:val="center"/>
              <w:textAlignment w:val="center"/>
              <w:rPr>
                <w:rFonts w:ascii="仿宋" w:hAnsi="仿宋" w:eastAsia="仿宋_GB2312" w:cs="仿宋_GB2312"/>
                <w:b/>
                <w:bCs/>
                <w:sz w:val="24"/>
              </w:rPr>
            </w:pPr>
            <w:r>
              <w:rPr>
                <w:rFonts w:hint="eastAsia" w:ascii="仿宋" w:hAnsi="仿宋"/>
                <w:b/>
                <w:bCs/>
                <w:sz w:val="24"/>
              </w:rPr>
              <w:t>合计</w:t>
            </w:r>
          </w:p>
        </w:tc>
        <w:tc>
          <w:tcPr>
            <w:tcW w:w="1457" w:type="dxa"/>
            <w:vAlign w:val="center"/>
          </w:tcPr>
          <w:p>
            <w:pPr>
              <w:suppressAutoHyphens/>
              <w:jc w:val="center"/>
              <w:rPr>
                <w:rFonts w:ascii="仿宋" w:hAnsi="仿宋" w:eastAsia="仿宋_GB2312" w:cs="仿宋_GB2312"/>
                <w:b/>
                <w:bCs/>
                <w:sz w:val="24"/>
              </w:rPr>
            </w:pPr>
            <w:r>
              <w:rPr>
                <w:rFonts w:hint="eastAsia" w:ascii="仿宋" w:hAnsi="仿宋"/>
                <w:b/>
                <w:bCs/>
                <w:sz w:val="24"/>
              </w:rPr>
              <w:t>300</w:t>
            </w:r>
          </w:p>
        </w:tc>
        <w:tc>
          <w:tcPr>
            <w:tcW w:w="3075" w:type="dxa"/>
            <w:vAlign w:val="center"/>
          </w:tcPr>
          <w:p>
            <w:pPr>
              <w:suppressAutoHyphens/>
              <w:jc w:val="center"/>
              <w:rPr>
                <w:rFonts w:ascii="仿宋" w:hAnsi="仿宋" w:eastAsia="仿宋_GB2312" w:cs="仿宋_GB2312"/>
                <w:b/>
                <w:bCs/>
                <w:sz w:val="24"/>
              </w:rPr>
            </w:pPr>
          </w:p>
        </w:tc>
        <w:tc>
          <w:tcPr>
            <w:tcW w:w="7755" w:type="dxa"/>
            <w:vAlign w:val="center"/>
          </w:tcPr>
          <w:p>
            <w:pPr>
              <w:suppressAutoHyphens/>
              <w:jc w:val="center"/>
              <w:rPr>
                <w:rFonts w:ascii="仿宋" w:hAnsi="仿宋" w:eastAsia="仿宋_GB2312" w:cs="仿宋_GB2312"/>
                <w:b/>
                <w:bCs/>
                <w:sz w:val="24"/>
              </w:rPr>
            </w:pPr>
          </w:p>
        </w:tc>
        <w:tc>
          <w:tcPr>
            <w:tcW w:w="1273" w:type="dxa"/>
            <w:vAlign w:val="center"/>
          </w:tcPr>
          <w:p>
            <w:pPr>
              <w:widowControl/>
              <w:suppressAutoHyphens/>
              <w:jc w:val="center"/>
              <w:textAlignment w:val="center"/>
              <w:rPr>
                <w:rFonts w:ascii="仿宋" w:hAnsi="仿宋" w:eastAsia="仿宋_GB2312" w:cs="仿宋_GB2312"/>
                <w:b/>
                <w:bCs/>
                <w:sz w:val="24"/>
              </w:rPr>
            </w:pPr>
            <w:r>
              <w:rPr>
                <w:rFonts w:hint="eastAsia" w:ascii="仿宋" w:hAnsi="仿宋"/>
                <w:b/>
                <w:bCs/>
                <w:sz w:val="24"/>
              </w:rPr>
              <w:t>300</w:t>
            </w:r>
          </w:p>
        </w:tc>
      </w:tr>
    </w:tbl>
    <w:p>
      <w:pPr>
        <w:spacing w:line="320" w:lineRule="exact"/>
        <w:rPr>
          <w:rFonts w:hint="eastAsia" w:ascii="仿宋_GB2312" w:eastAsia="仿宋_GB2312"/>
          <w:sz w:val="28"/>
          <w:szCs w:val="28"/>
          <w:lang w:eastAsia="zh-CN"/>
        </w:rPr>
      </w:pPr>
    </w:p>
    <w:sectPr>
      <w:footerReference r:id="rId3" w:type="default"/>
      <w:pgSz w:w="16838" w:h="11906" w:orient="landscape"/>
      <w:pgMar w:top="1587" w:right="2098" w:bottom="1361" w:left="1361" w:header="1587" w:footer="158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A34BAB"/>
    <w:multiLevelType w:val="singleLevel"/>
    <w:tmpl w:val="69A34B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MWZlY2MxZmE2MTIyODI1NDkyZjdlMTc4NWMxYTEifQ=="/>
    <w:docVar w:name="KGWebUrl" w:val="http://222.213.124.212:8391/seeyon/officeservlet"/>
  </w:docVars>
  <w:rsids>
    <w:rsidRoot w:val="6BCF3EF1"/>
    <w:rsid w:val="000822FA"/>
    <w:rsid w:val="001D4206"/>
    <w:rsid w:val="003F2954"/>
    <w:rsid w:val="00403264"/>
    <w:rsid w:val="005311EB"/>
    <w:rsid w:val="0089529E"/>
    <w:rsid w:val="008F3593"/>
    <w:rsid w:val="00B52690"/>
    <w:rsid w:val="00BE1545"/>
    <w:rsid w:val="00C56800"/>
    <w:rsid w:val="00C6664C"/>
    <w:rsid w:val="00D72F73"/>
    <w:rsid w:val="01317F69"/>
    <w:rsid w:val="01423F24"/>
    <w:rsid w:val="01453A14"/>
    <w:rsid w:val="014F2631"/>
    <w:rsid w:val="01A1036A"/>
    <w:rsid w:val="024F656F"/>
    <w:rsid w:val="02783976"/>
    <w:rsid w:val="02E903CF"/>
    <w:rsid w:val="02EE3C38"/>
    <w:rsid w:val="02F4124E"/>
    <w:rsid w:val="039667A9"/>
    <w:rsid w:val="03991DF6"/>
    <w:rsid w:val="03B662AC"/>
    <w:rsid w:val="03C84489"/>
    <w:rsid w:val="048028BE"/>
    <w:rsid w:val="049525BD"/>
    <w:rsid w:val="04B27C71"/>
    <w:rsid w:val="051200B1"/>
    <w:rsid w:val="05402104"/>
    <w:rsid w:val="056B1570"/>
    <w:rsid w:val="05706B86"/>
    <w:rsid w:val="05F45A09"/>
    <w:rsid w:val="05FB28F4"/>
    <w:rsid w:val="06071298"/>
    <w:rsid w:val="062D6D97"/>
    <w:rsid w:val="06406A6F"/>
    <w:rsid w:val="065E2E82"/>
    <w:rsid w:val="06BE49B5"/>
    <w:rsid w:val="071D689A"/>
    <w:rsid w:val="07230354"/>
    <w:rsid w:val="076B1CFB"/>
    <w:rsid w:val="07D77390"/>
    <w:rsid w:val="07E61381"/>
    <w:rsid w:val="07FC0BA5"/>
    <w:rsid w:val="080A2C65"/>
    <w:rsid w:val="08255F9E"/>
    <w:rsid w:val="08293DDB"/>
    <w:rsid w:val="08365E65"/>
    <w:rsid w:val="085140B5"/>
    <w:rsid w:val="096D58B6"/>
    <w:rsid w:val="097C01EF"/>
    <w:rsid w:val="098A46BA"/>
    <w:rsid w:val="098F7F23"/>
    <w:rsid w:val="099217C1"/>
    <w:rsid w:val="09AD2157"/>
    <w:rsid w:val="0A21031C"/>
    <w:rsid w:val="0A287A2F"/>
    <w:rsid w:val="0A422443"/>
    <w:rsid w:val="0A5A1DC7"/>
    <w:rsid w:val="0A8E01DA"/>
    <w:rsid w:val="0A90021D"/>
    <w:rsid w:val="0AA23C86"/>
    <w:rsid w:val="0ABF5171"/>
    <w:rsid w:val="0ADB0F46"/>
    <w:rsid w:val="0AE918B4"/>
    <w:rsid w:val="0B111932"/>
    <w:rsid w:val="0B48482D"/>
    <w:rsid w:val="0B492353"/>
    <w:rsid w:val="0B4E7969"/>
    <w:rsid w:val="0B776EC0"/>
    <w:rsid w:val="0B995CAC"/>
    <w:rsid w:val="0BDF6813"/>
    <w:rsid w:val="0BE36304"/>
    <w:rsid w:val="0C321039"/>
    <w:rsid w:val="0C915161"/>
    <w:rsid w:val="0C9870EE"/>
    <w:rsid w:val="0CC020E1"/>
    <w:rsid w:val="0CE02843"/>
    <w:rsid w:val="0CE40585"/>
    <w:rsid w:val="0D1B1ACD"/>
    <w:rsid w:val="0D1F15BD"/>
    <w:rsid w:val="0D3F57BC"/>
    <w:rsid w:val="0D49488C"/>
    <w:rsid w:val="0DB02915"/>
    <w:rsid w:val="0DBC1618"/>
    <w:rsid w:val="0DCB704F"/>
    <w:rsid w:val="0DD04666"/>
    <w:rsid w:val="0DFA16E3"/>
    <w:rsid w:val="0E417312"/>
    <w:rsid w:val="0E4D215A"/>
    <w:rsid w:val="0E5B5B67"/>
    <w:rsid w:val="0E5E4367"/>
    <w:rsid w:val="0E772D33"/>
    <w:rsid w:val="0E9F78CD"/>
    <w:rsid w:val="0EBB5316"/>
    <w:rsid w:val="0EBC2BF7"/>
    <w:rsid w:val="0EC00B7E"/>
    <w:rsid w:val="0EC51CF1"/>
    <w:rsid w:val="0EF924C7"/>
    <w:rsid w:val="0F264E85"/>
    <w:rsid w:val="0F3B6457"/>
    <w:rsid w:val="0F4A3109"/>
    <w:rsid w:val="0F69347E"/>
    <w:rsid w:val="0F96572F"/>
    <w:rsid w:val="0FA97864"/>
    <w:rsid w:val="0FB87AA7"/>
    <w:rsid w:val="0FCD3553"/>
    <w:rsid w:val="0FDC5544"/>
    <w:rsid w:val="0FE64614"/>
    <w:rsid w:val="0FF509EA"/>
    <w:rsid w:val="102B0279"/>
    <w:rsid w:val="104906FF"/>
    <w:rsid w:val="109158BE"/>
    <w:rsid w:val="10961B97"/>
    <w:rsid w:val="10AD6EE0"/>
    <w:rsid w:val="10F1501F"/>
    <w:rsid w:val="110B3874"/>
    <w:rsid w:val="1111121D"/>
    <w:rsid w:val="11246B06"/>
    <w:rsid w:val="112D25C7"/>
    <w:rsid w:val="1153451B"/>
    <w:rsid w:val="11D02E86"/>
    <w:rsid w:val="11F748B7"/>
    <w:rsid w:val="1292638E"/>
    <w:rsid w:val="12BE3627"/>
    <w:rsid w:val="12DE15D3"/>
    <w:rsid w:val="12F47048"/>
    <w:rsid w:val="131119A8"/>
    <w:rsid w:val="13477178"/>
    <w:rsid w:val="134C29E0"/>
    <w:rsid w:val="13977163"/>
    <w:rsid w:val="13A0476E"/>
    <w:rsid w:val="13D529D6"/>
    <w:rsid w:val="13E93BC1"/>
    <w:rsid w:val="14037290"/>
    <w:rsid w:val="14123C2A"/>
    <w:rsid w:val="1424395D"/>
    <w:rsid w:val="142A02EC"/>
    <w:rsid w:val="142D60AA"/>
    <w:rsid w:val="144114C7"/>
    <w:rsid w:val="145A2EDB"/>
    <w:rsid w:val="145F04F1"/>
    <w:rsid w:val="147A17CF"/>
    <w:rsid w:val="148B523E"/>
    <w:rsid w:val="14A910E0"/>
    <w:rsid w:val="14AB3737"/>
    <w:rsid w:val="14B26AA0"/>
    <w:rsid w:val="150978C9"/>
    <w:rsid w:val="151B08BC"/>
    <w:rsid w:val="155F468B"/>
    <w:rsid w:val="15714980"/>
    <w:rsid w:val="15807C55"/>
    <w:rsid w:val="1591355D"/>
    <w:rsid w:val="15C40F54"/>
    <w:rsid w:val="15C63ED2"/>
    <w:rsid w:val="15CE592F"/>
    <w:rsid w:val="15F2239C"/>
    <w:rsid w:val="160A26DF"/>
    <w:rsid w:val="167427AE"/>
    <w:rsid w:val="17123F41"/>
    <w:rsid w:val="175B7696"/>
    <w:rsid w:val="178169D1"/>
    <w:rsid w:val="17BB1EE3"/>
    <w:rsid w:val="17CF1E32"/>
    <w:rsid w:val="17D830FA"/>
    <w:rsid w:val="17EF38D2"/>
    <w:rsid w:val="1800023D"/>
    <w:rsid w:val="180715CC"/>
    <w:rsid w:val="18187335"/>
    <w:rsid w:val="186407CC"/>
    <w:rsid w:val="186E2A99"/>
    <w:rsid w:val="188666CB"/>
    <w:rsid w:val="189D735F"/>
    <w:rsid w:val="18A60DE5"/>
    <w:rsid w:val="18A706B9"/>
    <w:rsid w:val="18AB63FB"/>
    <w:rsid w:val="19124904"/>
    <w:rsid w:val="192F4936"/>
    <w:rsid w:val="194303E2"/>
    <w:rsid w:val="19720CC7"/>
    <w:rsid w:val="198A7DBF"/>
    <w:rsid w:val="19AF1F1B"/>
    <w:rsid w:val="19B17A41"/>
    <w:rsid w:val="19BE049D"/>
    <w:rsid w:val="19C154BB"/>
    <w:rsid w:val="1A345F7C"/>
    <w:rsid w:val="1A587EBD"/>
    <w:rsid w:val="1A98650B"/>
    <w:rsid w:val="1AF1477C"/>
    <w:rsid w:val="1B040045"/>
    <w:rsid w:val="1B063DBD"/>
    <w:rsid w:val="1B36008B"/>
    <w:rsid w:val="1B3A75C2"/>
    <w:rsid w:val="1B9B614A"/>
    <w:rsid w:val="1C073948"/>
    <w:rsid w:val="1C145FF6"/>
    <w:rsid w:val="1C1B3898"/>
    <w:rsid w:val="1C3358A8"/>
    <w:rsid w:val="1CA55340"/>
    <w:rsid w:val="1CB3587E"/>
    <w:rsid w:val="1CC25AC1"/>
    <w:rsid w:val="1D057ED5"/>
    <w:rsid w:val="1D085BCA"/>
    <w:rsid w:val="1D0B1216"/>
    <w:rsid w:val="1D255BF3"/>
    <w:rsid w:val="1DB418AE"/>
    <w:rsid w:val="1DB55626"/>
    <w:rsid w:val="1DC53ABB"/>
    <w:rsid w:val="1E0617B3"/>
    <w:rsid w:val="1E3B5B2B"/>
    <w:rsid w:val="1E5B441F"/>
    <w:rsid w:val="1E676920"/>
    <w:rsid w:val="1EA2204E"/>
    <w:rsid w:val="1EA57449"/>
    <w:rsid w:val="1EB93DAD"/>
    <w:rsid w:val="1EC51899"/>
    <w:rsid w:val="1F4B7FF0"/>
    <w:rsid w:val="1F5E0DD6"/>
    <w:rsid w:val="1F5E5F75"/>
    <w:rsid w:val="1F813A12"/>
    <w:rsid w:val="1F8A4FBC"/>
    <w:rsid w:val="1F966B28"/>
    <w:rsid w:val="1FC17307"/>
    <w:rsid w:val="1FE04BDC"/>
    <w:rsid w:val="203D7F9F"/>
    <w:rsid w:val="20776154"/>
    <w:rsid w:val="20E029BA"/>
    <w:rsid w:val="21050673"/>
    <w:rsid w:val="210C37AF"/>
    <w:rsid w:val="21525AB7"/>
    <w:rsid w:val="2159000E"/>
    <w:rsid w:val="21817CF9"/>
    <w:rsid w:val="21837F15"/>
    <w:rsid w:val="21C4408A"/>
    <w:rsid w:val="21C44C50"/>
    <w:rsid w:val="22140793"/>
    <w:rsid w:val="22B10AB2"/>
    <w:rsid w:val="22B8599C"/>
    <w:rsid w:val="22D64075"/>
    <w:rsid w:val="22E22A19"/>
    <w:rsid w:val="22E460BA"/>
    <w:rsid w:val="22FD7853"/>
    <w:rsid w:val="2322550C"/>
    <w:rsid w:val="233400A0"/>
    <w:rsid w:val="233E0A23"/>
    <w:rsid w:val="23476D20"/>
    <w:rsid w:val="2355768F"/>
    <w:rsid w:val="235651B5"/>
    <w:rsid w:val="23720241"/>
    <w:rsid w:val="237C4431"/>
    <w:rsid w:val="237D0994"/>
    <w:rsid w:val="238166D6"/>
    <w:rsid w:val="23867849"/>
    <w:rsid w:val="239C0AC9"/>
    <w:rsid w:val="23C44815"/>
    <w:rsid w:val="23DF21DE"/>
    <w:rsid w:val="23E64C3C"/>
    <w:rsid w:val="242552B4"/>
    <w:rsid w:val="244D65B8"/>
    <w:rsid w:val="245A2A83"/>
    <w:rsid w:val="248A5117"/>
    <w:rsid w:val="249146F7"/>
    <w:rsid w:val="24920DA8"/>
    <w:rsid w:val="24A85EE5"/>
    <w:rsid w:val="24DB1725"/>
    <w:rsid w:val="24F84776"/>
    <w:rsid w:val="24F86524"/>
    <w:rsid w:val="24F9229C"/>
    <w:rsid w:val="25034EC9"/>
    <w:rsid w:val="25076767"/>
    <w:rsid w:val="251C7C10"/>
    <w:rsid w:val="258650C2"/>
    <w:rsid w:val="258B2701"/>
    <w:rsid w:val="25FF38E2"/>
    <w:rsid w:val="26244CDB"/>
    <w:rsid w:val="263E440B"/>
    <w:rsid w:val="26753BA5"/>
    <w:rsid w:val="26926505"/>
    <w:rsid w:val="26B80661"/>
    <w:rsid w:val="26BB1EFF"/>
    <w:rsid w:val="26EA00EF"/>
    <w:rsid w:val="26FE1DEC"/>
    <w:rsid w:val="270513CC"/>
    <w:rsid w:val="27090EBD"/>
    <w:rsid w:val="27141FE2"/>
    <w:rsid w:val="27201D62"/>
    <w:rsid w:val="27533EE6"/>
    <w:rsid w:val="2756002D"/>
    <w:rsid w:val="27A42993"/>
    <w:rsid w:val="27A46490"/>
    <w:rsid w:val="27B150B0"/>
    <w:rsid w:val="27C51F90"/>
    <w:rsid w:val="28100A83"/>
    <w:rsid w:val="282B4E63"/>
    <w:rsid w:val="282F4953"/>
    <w:rsid w:val="284D4232"/>
    <w:rsid w:val="28BA1D43"/>
    <w:rsid w:val="28E374EB"/>
    <w:rsid w:val="28E46022"/>
    <w:rsid w:val="29017971"/>
    <w:rsid w:val="29114058"/>
    <w:rsid w:val="296F5223"/>
    <w:rsid w:val="297939AC"/>
    <w:rsid w:val="29A24CB1"/>
    <w:rsid w:val="29B844D4"/>
    <w:rsid w:val="2A326424"/>
    <w:rsid w:val="2A4A36B6"/>
    <w:rsid w:val="2A824AC9"/>
    <w:rsid w:val="2A9C7924"/>
    <w:rsid w:val="2ADB2B70"/>
    <w:rsid w:val="2ADB491E"/>
    <w:rsid w:val="2B345DDC"/>
    <w:rsid w:val="2B3C2EE3"/>
    <w:rsid w:val="2BC33B83"/>
    <w:rsid w:val="2BDE5160"/>
    <w:rsid w:val="2C041C52"/>
    <w:rsid w:val="2C1F6654"/>
    <w:rsid w:val="2C2E6CCF"/>
    <w:rsid w:val="2C595610"/>
    <w:rsid w:val="2C932FD6"/>
    <w:rsid w:val="2D0068BE"/>
    <w:rsid w:val="2D0D4B37"/>
    <w:rsid w:val="2D346567"/>
    <w:rsid w:val="2D5269EE"/>
    <w:rsid w:val="2D530A8A"/>
    <w:rsid w:val="2D786D08"/>
    <w:rsid w:val="2D960FD0"/>
    <w:rsid w:val="2DAD00C8"/>
    <w:rsid w:val="2DB63420"/>
    <w:rsid w:val="2DD37B2E"/>
    <w:rsid w:val="2DD724C3"/>
    <w:rsid w:val="2DE02345"/>
    <w:rsid w:val="2DE53D06"/>
    <w:rsid w:val="2DFB7E63"/>
    <w:rsid w:val="2E06164D"/>
    <w:rsid w:val="2E114AFB"/>
    <w:rsid w:val="2E33681F"/>
    <w:rsid w:val="2E6F6B28"/>
    <w:rsid w:val="2EA25753"/>
    <w:rsid w:val="2F4D3910"/>
    <w:rsid w:val="2F546A4D"/>
    <w:rsid w:val="2F633134"/>
    <w:rsid w:val="2F634EE2"/>
    <w:rsid w:val="2F805A94"/>
    <w:rsid w:val="30316D8E"/>
    <w:rsid w:val="30474804"/>
    <w:rsid w:val="306E7FE2"/>
    <w:rsid w:val="30F77FD8"/>
    <w:rsid w:val="30FF0C3A"/>
    <w:rsid w:val="310E0E7D"/>
    <w:rsid w:val="31456F95"/>
    <w:rsid w:val="314B20D2"/>
    <w:rsid w:val="31660CB9"/>
    <w:rsid w:val="31C05DC4"/>
    <w:rsid w:val="32116E77"/>
    <w:rsid w:val="323B5CA2"/>
    <w:rsid w:val="32B3444F"/>
    <w:rsid w:val="32D700C1"/>
    <w:rsid w:val="32D83E39"/>
    <w:rsid w:val="32EC51EE"/>
    <w:rsid w:val="3316226B"/>
    <w:rsid w:val="333B1DB0"/>
    <w:rsid w:val="33C30645"/>
    <w:rsid w:val="33E749DF"/>
    <w:rsid w:val="33F56325"/>
    <w:rsid w:val="34313801"/>
    <w:rsid w:val="347B4A7C"/>
    <w:rsid w:val="34AE07E1"/>
    <w:rsid w:val="34C401D1"/>
    <w:rsid w:val="355A28E3"/>
    <w:rsid w:val="35645468"/>
    <w:rsid w:val="35C506A4"/>
    <w:rsid w:val="36121410"/>
    <w:rsid w:val="365657A0"/>
    <w:rsid w:val="36913781"/>
    <w:rsid w:val="36C73FA8"/>
    <w:rsid w:val="36CD05C3"/>
    <w:rsid w:val="36CF10AF"/>
    <w:rsid w:val="36DD498F"/>
    <w:rsid w:val="36F4212A"/>
    <w:rsid w:val="36F6488E"/>
    <w:rsid w:val="36F8068E"/>
    <w:rsid w:val="3701395E"/>
    <w:rsid w:val="37217B5C"/>
    <w:rsid w:val="37284A49"/>
    <w:rsid w:val="374F5C96"/>
    <w:rsid w:val="37AE6F16"/>
    <w:rsid w:val="381E22EE"/>
    <w:rsid w:val="386F66A6"/>
    <w:rsid w:val="3870241E"/>
    <w:rsid w:val="38765C86"/>
    <w:rsid w:val="38957B7A"/>
    <w:rsid w:val="38966328"/>
    <w:rsid w:val="38BB165C"/>
    <w:rsid w:val="38F60B75"/>
    <w:rsid w:val="390A508C"/>
    <w:rsid w:val="39195C0A"/>
    <w:rsid w:val="394A0EC1"/>
    <w:rsid w:val="39D07618"/>
    <w:rsid w:val="3A2D4A6A"/>
    <w:rsid w:val="3A325BDD"/>
    <w:rsid w:val="3A6F6E31"/>
    <w:rsid w:val="3A7E52C6"/>
    <w:rsid w:val="3B163750"/>
    <w:rsid w:val="3B3F5877"/>
    <w:rsid w:val="3B603060"/>
    <w:rsid w:val="3B7346FF"/>
    <w:rsid w:val="3BA42B0A"/>
    <w:rsid w:val="3BA50AE5"/>
    <w:rsid w:val="3BB30F9F"/>
    <w:rsid w:val="3BB970C6"/>
    <w:rsid w:val="3BC96A15"/>
    <w:rsid w:val="3BE70C49"/>
    <w:rsid w:val="3C7A386B"/>
    <w:rsid w:val="3C961760"/>
    <w:rsid w:val="3C9963E7"/>
    <w:rsid w:val="3CA60B04"/>
    <w:rsid w:val="3CAA23A2"/>
    <w:rsid w:val="3CAD1E92"/>
    <w:rsid w:val="3CB90837"/>
    <w:rsid w:val="3CDE0410"/>
    <w:rsid w:val="3CE12235"/>
    <w:rsid w:val="3CE60F00"/>
    <w:rsid w:val="3CFB4E28"/>
    <w:rsid w:val="3D632551"/>
    <w:rsid w:val="3D6C58AA"/>
    <w:rsid w:val="3D74650C"/>
    <w:rsid w:val="3DD84CED"/>
    <w:rsid w:val="3E111FAD"/>
    <w:rsid w:val="3E1C107E"/>
    <w:rsid w:val="3E1D6BA4"/>
    <w:rsid w:val="3E5B3DE7"/>
    <w:rsid w:val="3EDC6A5F"/>
    <w:rsid w:val="3EF67B21"/>
    <w:rsid w:val="3F2B709E"/>
    <w:rsid w:val="3F370D90"/>
    <w:rsid w:val="3F39172B"/>
    <w:rsid w:val="3F47037C"/>
    <w:rsid w:val="3F7D78FA"/>
    <w:rsid w:val="3FB05F21"/>
    <w:rsid w:val="3FB23BEB"/>
    <w:rsid w:val="3FC71FC7"/>
    <w:rsid w:val="3FDA11F0"/>
    <w:rsid w:val="3FF102E8"/>
    <w:rsid w:val="3FF83425"/>
    <w:rsid w:val="400247A4"/>
    <w:rsid w:val="402B55A8"/>
    <w:rsid w:val="40416B7A"/>
    <w:rsid w:val="404B79F8"/>
    <w:rsid w:val="409475F1"/>
    <w:rsid w:val="40AD06B3"/>
    <w:rsid w:val="40B76E3C"/>
    <w:rsid w:val="40D75730"/>
    <w:rsid w:val="411E335F"/>
    <w:rsid w:val="416E7E42"/>
    <w:rsid w:val="41865230"/>
    <w:rsid w:val="418807D8"/>
    <w:rsid w:val="41950E9A"/>
    <w:rsid w:val="41C21F3C"/>
    <w:rsid w:val="41EA1493"/>
    <w:rsid w:val="41F852E7"/>
    <w:rsid w:val="420A5691"/>
    <w:rsid w:val="4226071D"/>
    <w:rsid w:val="4227255A"/>
    <w:rsid w:val="42323228"/>
    <w:rsid w:val="423C1CEE"/>
    <w:rsid w:val="426A0E03"/>
    <w:rsid w:val="426D634C"/>
    <w:rsid w:val="42B83F5B"/>
    <w:rsid w:val="43236A0A"/>
    <w:rsid w:val="43326C4D"/>
    <w:rsid w:val="43364990"/>
    <w:rsid w:val="434D6D89"/>
    <w:rsid w:val="43A91A60"/>
    <w:rsid w:val="43BE05BF"/>
    <w:rsid w:val="43C26223"/>
    <w:rsid w:val="44064C80"/>
    <w:rsid w:val="442962A2"/>
    <w:rsid w:val="44365E0D"/>
    <w:rsid w:val="444035EC"/>
    <w:rsid w:val="446545CB"/>
    <w:rsid w:val="44996289"/>
    <w:rsid w:val="44AD0C2A"/>
    <w:rsid w:val="44DC50C3"/>
    <w:rsid w:val="4504439A"/>
    <w:rsid w:val="450A5A18"/>
    <w:rsid w:val="45156827"/>
    <w:rsid w:val="45303661"/>
    <w:rsid w:val="45390560"/>
    <w:rsid w:val="45570BED"/>
    <w:rsid w:val="45625783"/>
    <w:rsid w:val="45D73ADC"/>
    <w:rsid w:val="46195EA3"/>
    <w:rsid w:val="461B7E6D"/>
    <w:rsid w:val="466E4440"/>
    <w:rsid w:val="469D6AD4"/>
    <w:rsid w:val="4792415F"/>
    <w:rsid w:val="47AB17F6"/>
    <w:rsid w:val="47BC11DC"/>
    <w:rsid w:val="47C54534"/>
    <w:rsid w:val="47E0311C"/>
    <w:rsid w:val="47FC782A"/>
    <w:rsid w:val="48256D81"/>
    <w:rsid w:val="489A2419"/>
    <w:rsid w:val="48CB7AD2"/>
    <w:rsid w:val="48FF50DD"/>
    <w:rsid w:val="49595D88"/>
    <w:rsid w:val="49601FB8"/>
    <w:rsid w:val="49706721"/>
    <w:rsid w:val="49B36701"/>
    <w:rsid w:val="49B717B1"/>
    <w:rsid w:val="49C5081B"/>
    <w:rsid w:val="49C64593"/>
    <w:rsid w:val="49DC5B65"/>
    <w:rsid w:val="49FC11EF"/>
    <w:rsid w:val="4A382905"/>
    <w:rsid w:val="4A3A527B"/>
    <w:rsid w:val="4A745D9D"/>
    <w:rsid w:val="4A7933B4"/>
    <w:rsid w:val="4A8E6E5F"/>
    <w:rsid w:val="4AE36C06"/>
    <w:rsid w:val="4AE56E9A"/>
    <w:rsid w:val="4B220722"/>
    <w:rsid w:val="4B614574"/>
    <w:rsid w:val="4B936A8A"/>
    <w:rsid w:val="4B9761E7"/>
    <w:rsid w:val="4BDB773A"/>
    <w:rsid w:val="4BE1780F"/>
    <w:rsid w:val="4BEB7E9C"/>
    <w:rsid w:val="4CCE6A8F"/>
    <w:rsid w:val="4CD9638C"/>
    <w:rsid w:val="4CF3744D"/>
    <w:rsid w:val="4D063625"/>
    <w:rsid w:val="4D1F46E6"/>
    <w:rsid w:val="4D243AAB"/>
    <w:rsid w:val="4D6D36A4"/>
    <w:rsid w:val="4D8D5933"/>
    <w:rsid w:val="4DAD1CF2"/>
    <w:rsid w:val="4DAD3AA0"/>
    <w:rsid w:val="4DB50BA7"/>
    <w:rsid w:val="4DE952E5"/>
    <w:rsid w:val="4E1C6E78"/>
    <w:rsid w:val="4E1E04FA"/>
    <w:rsid w:val="4EA50C1B"/>
    <w:rsid w:val="4EAD7AD0"/>
    <w:rsid w:val="4EC76DE4"/>
    <w:rsid w:val="4EEF5810"/>
    <w:rsid w:val="4F021BCA"/>
    <w:rsid w:val="4F196F13"/>
    <w:rsid w:val="4F4915A7"/>
    <w:rsid w:val="4F6C34E7"/>
    <w:rsid w:val="4F9F096D"/>
    <w:rsid w:val="4FC926E8"/>
    <w:rsid w:val="4FDA48F5"/>
    <w:rsid w:val="4FDC68BF"/>
    <w:rsid w:val="4FDF1F0B"/>
    <w:rsid w:val="4FF4200C"/>
    <w:rsid w:val="4FFF6109"/>
    <w:rsid w:val="501E6ED7"/>
    <w:rsid w:val="503B1D58"/>
    <w:rsid w:val="505F660B"/>
    <w:rsid w:val="50B1337A"/>
    <w:rsid w:val="50BD049E"/>
    <w:rsid w:val="5134057D"/>
    <w:rsid w:val="513F1F3B"/>
    <w:rsid w:val="51826FF2"/>
    <w:rsid w:val="51874608"/>
    <w:rsid w:val="51A4340C"/>
    <w:rsid w:val="51DC4954"/>
    <w:rsid w:val="52214363"/>
    <w:rsid w:val="52622C38"/>
    <w:rsid w:val="52630BD1"/>
    <w:rsid w:val="526F3A1A"/>
    <w:rsid w:val="528A2602"/>
    <w:rsid w:val="52B1623B"/>
    <w:rsid w:val="52B458D1"/>
    <w:rsid w:val="52C5363A"/>
    <w:rsid w:val="52D23FA9"/>
    <w:rsid w:val="52EA4E4F"/>
    <w:rsid w:val="53046FC0"/>
    <w:rsid w:val="530B42C2"/>
    <w:rsid w:val="534C781A"/>
    <w:rsid w:val="53560736"/>
    <w:rsid w:val="53760DD8"/>
    <w:rsid w:val="537F7C8D"/>
    <w:rsid w:val="53BF0089"/>
    <w:rsid w:val="54092004"/>
    <w:rsid w:val="54095938"/>
    <w:rsid w:val="54216B80"/>
    <w:rsid w:val="54375A11"/>
    <w:rsid w:val="54436421"/>
    <w:rsid w:val="54853ABA"/>
    <w:rsid w:val="548D29A1"/>
    <w:rsid w:val="54BF0D1B"/>
    <w:rsid w:val="5503669C"/>
    <w:rsid w:val="553B7BE4"/>
    <w:rsid w:val="55C46948"/>
    <w:rsid w:val="55C71477"/>
    <w:rsid w:val="55DC6A61"/>
    <w:rsid w:val="560328C4"/>
    <w:rsid w:val="56375DED"/>
    <w:rsid w:val="5640122A"/>
    <w:rsid w:val="56551179"/>
    <w:rsid w:val="56785D5C"/>
    <w:rsid w:val="56B85264"/>
    <w:rsid w:val="56ED13B1"/>
    <w:rsid w:val="56F72230"/>
    <w:rsid w:val="575D64CC"/>
    <w:rsid w:val="576176AA"/>
    <w:rsid w:val="57A47B2A"/>
    <w:rsid w:val="57D45CF1"/>
    <w:rsid w:val="57DA74B2"/>
    <w:rsid w:val="57F66044"/>
    <w:rsid w:val="57F86260"/>
    <w:rsid w:val="57F90779"/>
    <w:rsid w:val="580A21FF"/>
    <w:rsid w:val="58276B45"/>
    <w:rsid w:val="587578B0"/>
    <w:rsid w:val="58810003"/>
    <w:rsid w:val="58A91308"/>
    <w:rsid w:val="58D65634"/>
    <w:rsid w:val="59084281"/>
    <w:rsid w:val="5923730C"/>
    <w:rsid w:val="593C03CE"/>
    <w:rsid w:val="594352B9"/>
    <w:rsid w:val="598A113A"/>
    <w:rsid w:val="59943D66"/>
    <w:rsid w:val="5A0313FD"/>
    <w:rsid w:val="5A6527F3"/>
    <w:rsid w:val="5A897643"/>
    <w:rsid w:val="5AA20705"/>
    <w:rsid w:val="5ABA15AB"/>
    <w:rsid w:val="5AF70A51"/>
    <w:rsid w:val="5B5419FF"/>
    <w:rsid w:val="5B547C51"/>
    <w:rsid w:val="5B6F05E7"/>
    <w:rsid w:val="5B7025B1"/>
    <w:rsid w:val="5B98729D"/>
    <w:rsid w:val="5B9F2500"/>
    <w:rsid w:val="5BCC3C8B"/>
    <w:rsid w:val="5C090A3C"/>
    <w:rsid w:val="5C553C81"/>
    <w:rsid w:val="5C5679F9"/>
    <w:rsid w:val="5C891B7C"/>
    <w:rsid w:val="5CC44962"/>
    <w:rsid w:val="5CCB3F43"/>
    <w:rsid w:val="5CD54DC2"/>
    <w:rsid w:val="5CDD3C76"/>
    <w:rsid w:val="5D071531"/>
    <w:rsid w:val="5D414205"/>
    <w:rsid w:val="5DBC388C"/>
    <w:rsid w:val="5DDF5CD5"/>
    <w:rsid w:val="5E2A2EEB"/>
    <w:rsid w:val="5E660AD4"/>
    <w:rsid w:val="5EBD78BB"/>
    <w:rsid w:val="5EE979A4"/>
    <w:rsid w:val="5F4E49B7"/>
    <w:rsid w:val="5F8B6ACE"/>
    <w:rsid w:val="5FB707AE"/>
    <w:rsid w:val="5FBC39F2"/>
    <w:rsid w:val="60082DB8"/>
    <w:rsid w:val="601E18C0"/>
    <w:rsid w:val="602C2F4B"/>
    <w:rsid w:val="603B4F3C"/>
    <w:rsid w:val="6048342C"/>
    <w:rsid w:val="60526456"/>
    <w:rsid w:val="60624BBE"/>
    <w:rsid w:val="60854409"/>
    <w:rsid w:val="60B151FE"/>
    <w:rsid w:val="60C459A3"/>
    <w:rsid w:val="60DB227B"/>
    <w:rsid w:val="60E308E3"/>
    <w:rsid w:val="60F44CBD"/>
    <w:rsid w:val="60F85595"/>
    <w:rsid w:val="60FD75AC"/>
    <w:rsid w:val="612D6377"/>
    <w:rsid w:val="613C540F"/>
    <w:rsid w:val="6170330B"/>
    <w:rsid w:val="61B431F8"/>
    <w:rsid w:val="61D44853"/>
    <w:rsid w:val="6208709F"/>
    <w:rsid w:val="623C4F9B"/>
    <w:rsid w:val="624327CD"/>
    <w:rsid w:val="627806C9"/>
    <w:rsid w:val="62816E52"/>
    <w:rsid w:val="62913539"/>
    <w:rsid w:val="629E17B2"/>
    <w:rsid w:val="62B80AC5"/>
    <w:rsid w:val="62C27B96"/>
    <w:rsid w:val="633421CB"/>
    <w:rsid w:val="6367429A"/>
    <w:rsid w:val="63BD3EBA"/>
    <w:rsid w:val="63FD075A"/>
    <w:rsid w:val="641E704E"/>
    <w:rsid w:val="64416899"/>
    <w:rsid w:val="6454481E"/>
    <w:rsid w:val="64623156"/>
    <w:rsid w:val="646A4041"/>
    <w:rsid w:val="649E6569"/>
    <w:rsid w:val="64DB47D3"/>
    <w:rsid w:val="65493C57"/>
    <w:rsid w:val="655A40B6"/>
    <w:rsid w:val="658729D1"/>
    <w:rsid w:val="65913850"/>
    <w:rsid w:val="65A11BF2"/>
    <w:rsid w:val="65B72E80"/>
    <w:rsid w:val="65CD59F4"/>
    <w:rsid w:val="66434B4A"/>
    <w:rsid w:val="664D59C9"/>
    <w:rsid w:val="666D1BC7"/>
    <w:rsid w:val="66A31A8D"/>
    <w:rsid w:val="66F26971"/>
    <w:rsid w:val="66FC2F4B"/>
    <w:rsid w:val="670217A3"/>
    <w:rsid w:val="673D5A3D"/>
    <w:rsid w:val="67670D0C"/>
    <w:rsid w:val="67D22629"/>
    <w:rsid w:val="67DC0C16"/>
    <w:rsid w:val="67ED29D8"/>
    <w:rsid w:val="67EE6D37"/>
    <w:rsid w:val="68152516"/>
    <w:rsid w:val="683D381B"/>
    <w:rsid w:val="687731D1"/>
    <w:rsid w:val="68F0088D"/>
    <w:rsid w:val="68F95B59"/>
    <w:rsid w:val="694766FF"/>
    <w:rsid w:val="695936D5"/>
    <w:rsid w:val="696C0215"/>
    <w:rsid w:val="69CE5517"/>
    <w:rsid w:val="69FA5E67"/>
    <w:rsid w:val="6A0B3BD1"/>
    <w:rsid w:val="6A301889"/>
    <w:rsid w:val="6A3824EC"/>
    <w:rsid w:val="6A3D7B02"/>
    <w:rsid w:val="6A6077E9"/>
    <w:rsid w:val="6A6D488B"/>
    <w:rsid w:val="6AE127F5"/>
    <w:rsid w:val="6AEF34F2"/>
    <w:rsid w:val="6B0F5943"/>
    <w:rsid w:val="6B563571"/>
    <w:rsid w:val="6B5C52B4"/>
    <w:rsid w:val="6B67638B"/>
    <w:rsid w:val="6B6C68F1"/>
    <w:rsid w:val="6B8F0831"/>
    <w:rsid w:val="6BCF3EF1"/>
    <w:rsid w:val="6BDF23C5"/>
    <w:rsid w:val="6BEF2E8E"/>
    <w:rsid w:val="6C000636"/>
    <w:rsid w:val="6C194BDE"/>
    <w:rsid w:val="6C944351"/>
    <w:rsid w:val="6CC909AD"/>
    <w:rsid w:val="6CCD33BF"/>
    <w:rsid w:val="6CDD63F2"/>
    <w:rsid w:val="6CE81FA7"/>
    <w:rsid w:val="6D452F22"/>
    <w:rsid w:val="6D723F67"/>
    <w:rsid w:val="6D82064E"/>
    <w:rsid w:val="6DA32372"/>
    <w:rsid w:val="6DC36570"/>
    <w:rsid w:val="6E0472B5"/>
    <w:rsid w:val="6E35746E"/>
    <w:rsid w:val="6E365DA8"/>
    <w:rsid w:val="6E445903"/>
    <w:rsid w:val="6E7510E8"/>
    <w:rsid w:val="6EAB7730"/>
    <w:rsid w:val="6EC802E2"/>
    <w:rsid w:val="6ED22F0F"/>
    <w:rsid w:val="6EE64C0C"/>
    <w:rsid w:val="6EF8049C"/>
    <w:rsid w:val="6F060E0B"/>
    <w:rsid w:val="6F103A37"/>
    <w:rsid w:val="6F3F60CB"/>
    <w:rsid w:val="6F502086"/>
    <w:rsid w:val="6F9E54E7"/>
    <w:rsid w:val="700417EE"/>
    <w:rsid w:val="702552C0"/>
    <w:rsid w:val="704812DB"/>
    <w:rsid w:val="704F058F"/>
    <w:rsid w:val="706639C8"/>
    <w:rsid w:val="712A5284"/>
    <w:rsid w:val="712E4649"/>
    <w:rsid w:val="71324139"/>
    <w:rsid w:val="713F6856"/>
    <w:rsid w:val="716D6F1F"/>
    <w:rsid w:val="717A163C"/>
    <w:rsid w:val="719D69F4"/>
    <w:rsid w:val="71B52674"/>
    <w:rsid w:val="71D074AE"/>
    <w:rsid w:val="72252EC6"/>
    <w:rsid w:val="722F68CA"/>
    <w:rsid w:val="723B526F"/>
    <w:rsid w:val="724337DE"/>
    <w:rsid w:val="726227FC"/>
    <w:rsid w:val="7265409A"/>
    <w:rsid w:val="72676064"/>
    <w:rsid w:val="72872262"/>
    <w:rsid w:val="72C74D55"/>
    <w:rsid w:val="72EC65AF"/>
    <w:rsid w:val="730E64E0"/>
    <w:rsid w:val="73353A6C"/>
    <w:rsid w:val="735F0AE9"/>
    <w:rsid w:val="7370719A"/>
    <w:rsid w:val="741369EC"/>
    <w:rsid w:val="74275AAB"/>
    <w:rsid w:val="746254A9"/>
    <w:rsid w:val="74795BDB"/>
    <w:rsid w:val="748A53C5"/>
    <w:rsid w:val="748B42AD"/>
    <w:rsid w:val="748E7E71"/>
    <w:rsid w:val="748F53FE"/>
    <w:rsid w:val="74C01A5C"/>
    <w:rsid w:val="74DA48CB"/>
    <w:rsid w:val="74FC0CE6"/>
    <w:rsid w:val="75204114"/>
    <w:rsid w:val="75377F70"/>
    <w:rsid w:val="753F0BD2"/>
    <w:rsid w:val="75AF3FAA"/>
    <w:rsid w:val="7601057E"/>
    <w:rsid w:val="76261D92"/>
    <w:rsid w:val="764346F2"/>
    <w:rsid w:val="765B4D3E"/>
    <w:rsid w:val="767B3E8C"/>
    <w:rsid w:val="76C84BF7"/>
    <w:rsid w:val="76C9109B"/>
    <w:rsid w:val="76F4656E"/>
    <w:rsid w:val="77242776"/>
    <w:rsid w:val="774626EC"/>
    <w:rsid w:val="774A0D27"/>
    <w:rsid w:val="778B45A3"/>
    <w:rsid w:val="77D07CDD"/>
    <w:rsid w:val="77DE2925"/>
    <w:rsid w:val="77EB6DF0"/>
    <w:rsid w:val="78054355"/>
    <w:rsid w:val="780F6F82"/>
    <w:rsid w:val="788259A6"/>
    <w:rsid w:val="788D434B"/>
    <w:rsid w:val="78B81D2B"/>
    <w:rsid w:val="78E24696"/>
    <w:rsid w:val="790B3FAF"/>
    <w:rsid w:val="79196F61"/>
    <w:rsid w:val="79627585"/>
    <w:rsid w:val="79892D64"/>
    <w:rsid w:val="79A9007F"/>
    <w:rsid w:val="79C601B6"/>
    <w:rsid w:val="79E47F9A"/>
    <w:rsid w:val="79E65AC0"/>
    <w:rsid w:val="79F20909"/>
    <w:rsid w:val="7A2D7B93"/>
    <w:rsid w:val="7A37456E"/>
    <w:rsid w:val="7A410F49"/>
    <w:rsid w:val="7A6A04A0"/>
    <w:rsid w:val="7AAD2A82"/>
    <w:rsid w:val="7AC422A5"/>
    <w:rsid w:val="7AC62379"/>
    <w:rsid w:val="7B1F572E"/>
    <w:rsid w:val="7B357F37"/>
    <w:rsid w:val="7B42766E"/>
    <w:rsid w:val="7B470223"/>
    <w:rsid w:val="7B4A02D1"/>
    <w:rsid w:val="7B7F7F7B"/>
    <w:rsid w:val="7B821819"/>
    <w:rsid w:val="7B8657AD"/>
    <w:rsid w:val="7BAB5214"/>
    <w:rsid w:val="7BBA0FB3"/>
    <w:rsid w:val="7BBA4429"/>
    <w:rsid w:val="7BFC15CB"/>
    <w:rsid w:val="7C0041E8"/>
    <w:rsid w:val="7C6E0CB7"/>
    <w:rsid w:val="7CCE3522"/>
    <w:rsid w:val="7D080444"/>
    <w:rsid w:val="7D2863F0"/>
    <w:rsid w:val="7D3B3074"/>
    <w:rsid w:val="7D567A86"/>
    <w:rsid w:val="7D6E02A7"/>
    <w:rsid w:val="7DA270F0"/>
    <w:rsid w:val="7DBD122E"/>
    <w:rsid w:val="7E0155BF"/>
    <w:rsid w:val="7E0806FB"/>
    <w:rsid w:val="7E244E09"/>
    <w:rsid w:val="7E633B84"/>
    <w:rsid w:val="7E6F077A"/>
    <w:rsid w:val="7EB0669D"/>
    <w:rsid w:val="7EB22415"/>
    <w:rsid w:val="7ED54A28"/>
    <w:rsid w:val="7EE91B44"/>
    <w:rsid w:val="7EF70770"/>
    <w:rsid w:val="7F3B065C"/>
    <w:rsid w:val="7F6A0F42"/>
    <w:rsid w:val="7F6F0306"/>
    <w:rsid w:val="7F8244DD"/>
    <w:rsid w:val="7F8A5140"/>
    <w:rsid w:val="7F9D30C5"/>
    <w:rsid w:val="7F9E6CBF"/>
    <w:rsid w:val="7FEA7168"/>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仿宋" w:cs="仿宋"/>
      <w:sz w:val="32"/>
      <w:szCs w:val="32"/>
      <w:lang w:val="en-US" w:eastAsia="en-US" w:bidi="ar-SA"/>
    </w:rPr>
  </w:style>
  <w:style w:type="paragraph" w:styleId="2">
    <w:name w:val="heading 1"/>
    <w:basedOn w:val="1"/>
    <w:next w:val="1"/>
    <w:qFormat/>
    <w:uiPriority w:val="1"/>
    <w:pPr>
      <w:spacing w:before="67"/>
      <w:ind w:left="231" w:right="669" w:hanging="2871"/>
      <w:outlineLvl w:val="0"/>
    </w:pPr>
    <w:rPr>
      <w:rFonts w:ascii="方正小标宋简体" w:hAnsi="方正小标宋简体" w:eastAsia="方正小标宋简体" w:cs="方正小标宋简体"/>
      <w:b/>
      <w:bCs/>
      <w:sz w:val="44"/>
      <w:szCs w:val="44"/>
    </w:rPr>
  </w:style>
  <w:style w:type="paragraph" w:styleId="3">
    <w:name w:val="heading 2"/>
    <w:basedOn w:val="1"/>
    <w:next w:val="1"/>
    <w:qFormat/>
    <w:uiPriority w:val="1"/>
    <w:pPr>
      <w:spacing w:line="751" w:lineRule="exact"/>
      <w:ind w:left="-20"/>
      <w:outlineLvl w:val="1"/>
    </w:pPr>
    <w:rPr>
      <w:rFonts w:ascii="方正小标宋简体" w:hAnsi="方正小标宋简体" w:eastAsia="方正小标宋简体" w:cs="方正小标宋简体"/>
      <w:sz w:val="44"/>
      <w:szCs w:val="44"/>
    </w:rPr>
  </w:style>
  <w:style w:type="paragraph" w:styleId="4">
    <w:name w:val="heading 3"/>
    <w:basedOn w:val="1"/>
    <w:next w:val="1"/>
    <w:qFormat/>
    <w:uiPriority w:val="1"/>
    <w:pPr>
      <w:ind w:left="108"/>
      <w:outlineLvl w:val="2"/>
    </w:pPr>
    <w:rPr>
      <w:rFonts w:ascii="Microsoft JhengHei" w:hAnsi="Microsoft JhengHei" w:eastAsia="Microsoft JhengHei" w:cs="Microsoft JhengHei"/>
      <w:b/>
      <w:bCs/>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Title"/>
    <w:basedOn w:val="1"/>
    <w:next w:val="9"/>
    <w:qFormat/>
    <w:uiPriority w:val="99"/>
    <w:pPr>
      <w:jc w:val="center"/>
      <w:outlineLvl w:val="0"/>
    </w:pPr>
    <w:rPr>
      <w:rFonts w:ascii="Cambria" w:hAnsi="Cambria" w:cs="Cambria"/>
      <w:b/>
      <w:bCs/>
    </w:rPr>
  </w:style>
  <w:style w:type="paragraph" w:customStyle="1" w:styleId="9">
    <w:name w:val="BodyTextIndent"/>
    <w:qFormat/>
    <w:uiPriority w:val="99"/>
    <w:pPr>
      <w:widowControl w:val="0"/>
      <w:spacing w:line="570" w:lineRule="exact"/>
      <w:ind w:firstLine="616" w:firstLineChars="200"/>
      <w:jc w:val="both"/>
    </w:pPr>
    <w:rPr>
      <w:rFonts w:ascii="Times New Roman" w:hAnsi="Times New Roman" w:eastAsia="宋体" w:cs="Times New Roman"/>
      <w:spacing w:val="-6"/>
      <w:kern w:val="2"/>
      <w:sz w:val="21"/>
      <w:szCs w:val="21"/>
      <w:lang w:val="en-US" w:eastAsia="zh-CN" w:bidi="ar-SA"/>
    </w:rPr>
  </w:style>
  <w:style w:type="character" w:styleId="12">
    <w:name w:val="page number"/>
    <w:basedOn w:val="11"/>
    <w:qFormat/>
    <w:uiPriority w:val="0"/>
  </w:style>
  <w:style w:type="paragraph" w:customStyle="1" w:styleId="13">
    <w:name w:val="Normal Indent1"/>
    <w:basedOn w:val="1"/>
    <w:qFormat/>
    <w:uiPriority w:val="99"/>
    <w:pPr>
      <w:ind w:firstLine="420" w:firstLineChars="200"/>
    </w:pPr>
  </w:style>
  <w:style w:type="character" w:customStyle="1" w:styleId="14">
    <w:name w:val="font121"/>
    <w:basedOn w:val="11"/>
    <w:qFormat/>
    <w:uiPriority w:val="0"/>
    <w:rPr>
      <w:rFonts w:hint="eastAsia" w:ascii="仿宋" w:hAnsi="仿宋" w:eastAsia="仿宋" w:cs="仿宋"/>
      <w:color w:val="000000"/>
      <w:sz w:val="24"/>
      <w:szCs w:val="24"/>
      <w:u w:val="none"/>
    </w:rPr>
  </w:style>
  <w:style w:type="character" w:customStyle="1" w:styleId="15">
    <w:name w:val="font112"/>
    <w:basedOn w:val="11"/>
    <w:qFormat/>
    <w:uiPriority w:val="0"/>
    <w:rPr>
      <w:rFonts w:hint="eastAsia" w:ascii="仿宋" w:hAnsi="仿宋" w:eastAsia="仿宋" w:cs="仿宋"/>
      <w:b/>
      <w:bCs/>
      <w:color w:val="000000"/>
      <w:sz w:val="24"/>
      <w:szCs w:val="24"/>
      <w:u w:val="none"/>
    </w:rPr>
  </w:style>
  <w:style w:type="character" w:customStyle="1" w:styleId="16">
    <w:name w:val="font41"/>
    <w:basedOn w:val="11"/>
    <w:qFormat/>
    <w:uiPriority w:val="0"/>
    <w:rPr>
      <w:rFonts w:hint="default" w:ascii="Times New Roman" w:hAnsi="Times New Roman" w:cs="Times New Roman"/>
      <w:b/>
      <w:bCs/>
      <w:color w:val="000000"/>
      <w:sz w:val="24"/>
      <w:szCs w:val="24"/>
      <w:u w:val="none"/>
    </w:rPr>
  </w:style>
  <w:style w:type="character" w:customStyle="1" w:styleId="17">
    <w:name w:val="font101"/>
    <w:basedOn w:val="11"/>
    <w:qFormat/>
    <w:uiPriority w:val="0"/>
    <w:rPr>
      <w:rFonts w:hint="default" w:ascii="Times New Roman" w:hAnsi="Times New Roman" w:cs="Times New Roman"/>
      <w:color w:val="000000"/>
      <w:sz w:val="24"/>
      <w:szCs w:val="24"/>
      <w:u w:val="none"/>
    </w:rPr>
  </w:style>
  <w:style w:type="character" w:customStyle="1" w:styleId="18">
    <w:name w:val="font91"/>
    <w:basedOn w:val="11"/>
    <w:qFormat/>
    <w:uiPriority w:val="0"/>
    <w:rPr>
      <w:rFonts w:hint="eastAsia" w:ascii="仿宋" w:hAnsi="仿宋" w:eastAsia="仿宋" w:cs="仿宋"/>
      <w:color w:val="000000"/>
      <w:sz w:val="28"/>
      <w:szCs w:val="28"/>
      <w:u w:val="none"/>
    </w:rPr>
  </w:style>
  <w:style w:type="character" w:customStyle="1" w:styleId="19">
    <w:name w:val="font11"/>
    <w:basedOn w:val="11"/>
    <w:qFormat/>
    <w:uiPriority w:val="0"/>
    <w:rPr>
      <w:rFonts w:hint="eastAsia" w:ascii="宋体" w:hAnsi="宋体" w:eastAsia="宋体" w:cs="宋体"/>
      <w:color w:val="000000"/>
      <w:sz w:val="22"/>
      <w:szCs w:val="22"/>
      <w:u w:val="none"/>
    </w:rPr>
  </w:style>
  <w:style w:type="paragraph" w:customStyle="1" w:styleId="20">
    <w:name w:val="Revision"/>
    <w:hidden/>
    <w:unhideWhenUsed/>
    <w:qFormat/>
    <w:uiPriority w:val="99"/>
    <w:rPr>
      <w:rFonts w:ascii="Times New Roman" w:hAnsi="Times New Roman" w:eastAsia="仿宋" w:cs="仿宋"/>
      <w:sz w:val="32"/>
      <w:szCs w:val="3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40665</Words>
  <Characters>41948</Characters>
  <Lines>311</Lines>
  <Paragraphs>87</Paragraphs>
  <TotalTime>4</TotalTime>
  <ScaleCrop>false</ScaleCrop>
  <LinksUpToDate>false</LinksUpToDate>
  <CharactersWithSpaces>42268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2023-12-22T09:31:00Z</dcterms:created>
  <dc:creator>欢欢不骗奶奶</dc:creator>
  <cp:lastModifiedBy>吴  庭</cp:lastModifiedBy>
  <dcterms:modified xsi:type="dcterms:W3CDTF">2023-12-27T08:37:33Z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D73F53297C974959B3229602ECDAD97B_13</vt:lpwstr>
  </property>
</Properties>
</file>