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autoSpaceDN/>
        <w:spacing w:line="600" w:lineRule="exact"/>
        <w:rPr>
          <w:rFonts w:ascii="黑体" w:hAnsi="黑体" w:eastAsia="黑体" w:cs="黑体"/>
          <w:lang w:eastAsia="zh-CN" w:bidi="ar"/>
        </w:rPr>
      </w:pPr>
      <w:r>
        <w:rPr>
          <w:rFonts w:hint="eastAsia" w:ascii="黑体" w:hAnsi="黑体" w:eastAsia="黑体" w:cs="黑体"/>
          <w:lang w:eastAsia="zh-CN" w:bidi="ar"/>
        </w:rPr>
        <w:t>附件2</w:t>
      </w:r>
    </w:p>
    <w:p>
      <w:pPr>
        <w:overflowPunct w:val="0"/>
        <w:autoSpaceDE/>
        <w:autoSpaceDN/>
        <w:spacing w:line="600" w:lineRule="exact"/>
        <w:jc w:val="center"/>
        <w:rPr>
          <w:rFonts w:ascii="仿宋" w:hAnsi="仿宋" w:eastAsia="方正小标宋简体" w:cs="Times New Roman"/>
          <w:sz w:val="44"/>
          <w:szCs w:val="44"/>
          <w:lang w:eastAsia="zh-CN" w:bidi="ar"/>
        </w:rPr>
      </w:pPr>
      <w:bookmarkStart w:id="0" w:name="_GoBack"/>
      <w:r>
        <w:rPr>
          <w:rFonts w:hint="eastAsia" w:ascii="仿宋" w:hAnsi="仿宋" w:eastAsia="方正小标宋简体" w:cs="Times New Roman"/>
          <w:sz w:val="44"/>
          <w:szCs w:val="44"/>
          <w:lang w:eastAsia="zh-CN" w:bidi="ar"/>
        </w:rPr>
        <w:t>中江县</w:t>
      </w:r>
      <w:r>
        <w:rPr>
          <w:rFonts w:ascii="仿宋" w:hAnsi="仿宋" w:eastAsia="方正小标宋简体" w:cs="Times New Roman"/>
          <w:sz w:val="44"/>
          <w:szCs w:val="44"/>
          <w:lang w:eastAsia="zh-CN" w:bidi="ar"/>
        </w:rPr>
        <w:t>省级慢性病综合防控示范区建设目标任务分解及时间安排表</w:t>
      </w:r>
    </w:p>
    <w:bookmarkEnd w:id="0"/>
    <w:tbl>
      <w:tblPr>
        <w:tblStyle w:val="10"/>
        <w:tblW w:w="15474" w:type="dxa"/>
        <w:tblInd w:w="-731" w:type="dxa"/>
        <w:tblLayout w:type="fixed"/>
        <w:tblCellMar>
          <w:top w:w="0" w:type="dxa"/>
          <w:left w:w="108" w:type="dxa"/>
          <w:bottom w:w="0" w:type="dxa"/>
          <w:right w:w="108" w:type="dxa"/>
        </w:tblCellMar>
      </w:tblPr>
      <w:tblGrid>
        <w:gridCol w:w="735"/>
        <w:gridCol w:w="1639"/>
        <w:gridCol w:w="2925"/>
        <w:gridCol w:w="5142"/>
        <w:gridCol w:w="1775"/>
        <w:gridCol w:w="1661"/>
        <w:gridCol w:w="1597"/>
      </w:tblGrid>
      <w:tr>
        <w:tblPrEx>
          <w:tblCellMar>
            <w:top w:w="0" w:type="dxa"/>
            <w:left w:w="108" w:type="dxa"/>
            <w:bottom w:w="0" w:type="dxa"/>
            <w:right w:w="108" w:type="dxa"/>
          </w:tblCellMar>
        </w:tblPrEx>
        <w:trPr>
          <w:trHeight w:val="477" w:hRule="atLeast"/>
          <w:tblHead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黑体" w:cs="黑体"/>
                <w:sz w:val="24"/>
                <w:szCs w:val="24"/>
              </w:rPr>
            </w:pPr>
            <w:r>
              <w:rPr>
                <w:rFonts w:hint="eastAsia" w:ascii="仿宋" w:hAnsi="仿宋" w:eastAsia="黑体" w:cs="黑体"/>
                <w:sz w:val="24"/>
                <w:szCs w:val="24"/>
                <w:lang w:eastAsia="zh-CN" w:bidi="ar"/>
              </w:rPr>
              <w:t>指标分类</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黑体" w:cs="黑体"/>
                <w:sz w:val="24"/>
                <w:szCs w:val="24"/>
              </w:rPr>
            </w:pPr>
            <w:r>
              <w:rPr>
                <w:rFonts w:hint="eastAsia" w:ascii="仿宋" w:hAnsi="仿宋" w:eastAsia="黑体" w:cs="黑体"/>
                <w:sz w:val="24"/>
                <w:szCs w:val="24"/>
                <w:lang w:eastAsia="zh-CN" w:bidi="ar"/>
              </w:rPr>
              <w:t>指标内容</w:t>
            </w:r>
          </w:p>
        </w:tc>
        <w:tc>
          <w:tcPr>
            <w:tcW w:w="2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黑体" w:cs="黑体"/>
                <w:sz w:val="24"/>
                <w:szCs w:val="24"/>
                <w:lang w:eastAsia="zh-CN"/>
              </w:rPr>
            </w:pPr>
            <w:r>
              <w:rPr>
                <w:rFonts w:hint="eastAsia" w:ascii="仿宋" w:hAnsi="仿宋" w:eastAsia="黑体" w:cs="黑体"/>
                <w:sz w:val="24"/>
                <w:szCs w:val="24"/>
                <w:lang w:eastAsia="zh-CN" w:bidi="ar"/>
              </w:rPr>
              <w:t>省级慢病示范区建设标准</w:t>
            </w:r>
          </w:p>
        </w:tc>
        <w:tc>
          <w:tcPr>
            <w:tcW w:w="51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黑体" w:cs="黑体"/>
                <w:sz w:val="24"/>
                <w:szCs w:val="24"/>
              </w:rPr>
            </w:pPr>
            <w:r>
              <w:rPr>
                <w:rFonts w:hint="eastAsia" w:ascii="仿宋" w:hAnsi="仿宋" w:eastAsia="黑体" w:cs="黑体"/>
                <w:sz w:val="24"/>
                <w:szCs w:val="24"/>
                <w:lang w:eastAsia="zh-CN" w:bidi="ar"/>
              </w:rPr>
              <w:t>主要任务</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黑体" w:cs="黑体"/>
                <w:sz w:val="24"/>
                <w:szCs w:val="24"/>
              </w:rPr>
            </w:pPr>
            <w:r>
              <w:rPr>
                <w:rFonts w:hint="eastAsia" w:ascii="仿宋" w:hAnsi="仿宋" w:eastAsia="黑体" w:cs="黑体"/>
                <w:sz w:val="24"/>
                <w:szCs w:val="24"/>
                <w:lang w:eastAsia="zh-CN" w:bidi="ar"/>
              </w:rPr>
              <w:t>责任（牵头）单位</w:t>
            </w:r>
          </w:p>
        </w:tc>
        <w:tc>
          <w:tcPr>
            <w:tcW w:w="1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黑体" w:cs="黑体"/>
                <w:sz w:val="24"/>
                <w:szCs w:val="24"/>
              </w:rPr>
            </w:pPr>
            <w:r>
              <w:rPr>
                <w:rFonts w:hint="eastAsia" w:ascii="仿宋" w:hAnsi="仿宋" w:eastAsia="黑体" w:cs="黑体"/>
                <w:sz w:val="24"/>
                <w:szCs w:val="24"/>
                <w:lang w:eastAsia="zh-CN" w:bidi="ar"/>
              </w:rPr>
              <w:t>配合（指导）单位</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黑体" w:cs="黑体"/>
                <w:sz w:val="24"/>
                <w:szCs w:val="24"/>
              </w:rPr>
            </w:pPr>
            <w:r>
              <w:rPr>
                <w:rFonts w:hint="eastAsia" w:ascii="仿宋" w:hAnsi="仿宋" w:eastAsia="黑体" w:cs="黑体"/>
                <w:sz w:val="24"/>
                <w:szCs w:val="24"/>
                <w:lang w:eastAsia="zh-CN" w:bidi="ar"/>
              </w:rPr>
              <w:t>完成时限</w:t>
            </w:r>
          </w:p>
        </w:tc>
      </w:tr>
      <w:tr>
        <w:tblPrEx>
          <w:tblCellMar>
            <w:top w:w="0" w:type="dxa"/>
            <w:left w:w="108" w:type="dxa"/>
            <w:bottom w:w="0" w:type="dxa"/>
            <w:right w:w="108" w:type="dxa"/>
          </w:tblCellMar>
        </w:tblPrEx>
        <w:trPr>
          <w:trHeight w:val="90" w:hRule="atLeast"/>
        </w:trPr>
        <w:tc>
          <w:tcPr>
            <w:tcW w:w="735" w:type="dxa"/>
            <w:vMerge w:val="restart"/>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rPr>
            </w:pPr>
            <w:r>
              <w:rPr>
                <w:rFonts w:hint="eastAsia" w:ascii="仿宋" w:hAnsi="仿宋"/>
                <w:sz w:val="24"/>
                <w:szCs w:val="24"/>
                <w:lang w:eastAsia="zh-CN" w:bidi="ar"/>
              </w:rPr>
              <w:t>一、政策发展</w:t>
            </w:r>
          </w:p>
        </w:tc>
        <w:tc>
          <w:tcPr>
            <w:tcW w:w="1639" w:type="dxa"/>
            <w:vMerge w:val="restart"/>
            <w:tcBorders>
              <w:top w:val="single" w:color="auto" w:sz="4" w:space="0"/>
              <w:left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Fonts w:hint="eastAsia" w:ascii="仿宋" w:hAnsi="仿宋"/>
                <w:sz w:val="24"/>
                <w:szCs w:val="24"/>
                <w:lang w:eastAsia="zh-CN" w:bidi="ar"/>
              </w:rPr>
              <w:t>（一）发挥政府主导作用，建立多部门协作联动机制。</w:t>
            </w:r>
          </w:p>
        </w:tc>
        <w:tc>
          <w:tcPr>
            <w:tcW w:w="292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Fonts w:hint="eastAsia" w:ascii="仿宋" w:hAnsi="仿宋"/>
                <w:sz w:val="24"/>
                <w:lang w:eastAsia="zh-CN"/>
              </w:rPr>
              <w:t>1.辖区政府成立示范区建设领导小组，明确并落实部门职责，建立完善的信息反馈沟通制度。</w:t>
            </w:r>
          </w:p>
        </w:tc>
        <w:tc>
          <w:tcPr>
            <w:tcW w:w="5142"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suppressAutoHyphens/>
              <w:textAlignment w:val="top"/>
              <w:rPr>
                <w:rFonts w:ascii="仿宋" w:hAnsi="仿宋"/>
                <w:sz w:val="24"/>
                <w:lang w:eastAsia="zh-CN"/>
              </w:rPr>
            </w:pPr>
            <w:r>
              <w:rPr>
                <w:rFonts w:hint="eastAsia" w:ascii="仿宋" w:hAnsi="仿宋"/>
                <w:sz w:val="24"/>
                <w:lang w:eastAsia="zh-CN"/>
              </w:rPr>
              <w:t>（1）成立辖区示范区建设领导小组，政府主要领导任组长；明确各部门职责。</w:t>
            </w:r>
          </w:p>
          <w:p>
            <w:pPr>
              <w:widowControl/>
              <w:suppressAutoHyphens/>
              <w:textAlignment w:val="top"/>
              <w:rPr>
                <w:rFonts w:ascii="仿宋" w:hAnsi="仿宋"/>
                <w:sz w:val="24"/>
                <w:lang w:eastAsia="zh-CN"/>
              </w:rPr>
            </w:pPr>
            <w:r>
              <w:rPr>
                <w:rFonts w:hint="eastAsia" w:ascii="仿宋" w:hAnsi="仿宋"/>
                <w:sz w:val="24"/>
                <w:lang w:eastAsia="zh-CN"/>
              </w:rPr>
              <w:t>（2）设立示范区建设工作办公室。</w:t>
            </w:r>
          </w:p>
          <w:p>
            <w:pPr>
              <w:widowControl/>
              <w:suppressAutoHyphens/>
              <w:textAlignment w:val="top"/>
              <w:rPr>
                <w:rFonts w:ascii="仿宋" w:hAnsi="仿宋"/>
                <w:sz w:val="24"/>
                <w:lang w:eastAsia="zh-CN"/>
              </w:rPr>
            </w:pPr>
            <w:r>
              <w:rPr>
                <w:rFonts w:hint="eastAsia" w:ascii="仿宋" w:hAnsi="仿宋"/>
                <w:sz w:val="24"/>
                <w:lang w:eastAsia="zh-CN"/>
              </w:rPr>
              <w:t>（3）建立多部门沟通协作机制，每年召开1次及以上领导小组工作会议。</w:t>
            </w:r>
          </w:p>
          <w:p>
            <w:pPr>
              <w:widowControl/>
              <w:textAlignment w:val="center"/>
              <w:rPr>
                <w:rStyle w:val="14"/>
                <w:rFonts w:hint="default" w:eastAsia="仿宋_GB2312" w:cs="仿宋_GB2312"/>
                <w:color w:val="auto"/>
                <w:lang w:eastAsia="zh-CN" w:bidi="ar"/>
              </w:rPr>
            </w:pPr>
            <w:r>
              <w:rPr>
                <w:rFonts w:hint="eastAsia" w:ascii="仿宋" w:hAnsi="仿宋"/>
                <w:sz w:val="24"/>
                <w:lang w:eastAsia="zh-CN"/>
              </w:rPr>
              <w:t>（4）根据实际工作需要及时召开联络员会议。</w:t>
            </w:r>
          </w:p>
        </w:tc>
        <w:tc>
          <w:tcPr>
            <w:tcW w:w="177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rPr>
            </w:pPr>
            <w:r>
              <w:rPr>
                <w:rFonts w:hint="eastAsia" w:ascii="仿宋" w:hAnsi="仿宋"/>
                <w:sz w:val="24"/>
                <w:szCs w:val="24"/>
                <w:lang w:eastAsia="zh-CN" w:bidi="ar"/>
              </w:rPr>
              <w:t>县政府办</w:t>
            </w:r>
          </w:p>
        </w:tc>
        <w:tc>
          <w:tcPr>
            <w:tcW w:w="166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县建设办、各县级成员单位、各乡镇人民政府</w:t>
            </w:r>
          </w:p>
        </w:tc>
        <w:tc>
          <w:tcPr>
            <w:tcW w:w="159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2023年12月</w:t>
            </w:r>
          </w:p>
        </w:tc>
      </w:tr>
      <w:tr>
        <w:tblPrEx>
          <w:tblCellMar>
            <w:top w:w="0" w:type="dxa"/>
            <w:left w:w="108" w:type="dxa"/>
            <w:bottom w:w="0" w:type="dxa"/>
            <w:right w:w="108" w:type="dxa"/>
          </w:tblCellMar>
        </w:tblPrEx>
        <w:trPr>
          <w:trHeight w:val="449" w:hRule="atLeast"/>
        </w:trPr>
        <w:tc>
          <w:tcPr>
            <w:tcW w:w="735" w:type="dxa"/>
            <w:vMerge w:val="continue"/>
            <w:tcBorders>
              <w:left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1639" w:type="dxa"/>
            <w:vMerge w:val="continue"/>
            <w:tcBorders>
              <w:left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292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Fonts w:hint="eastAsia" w:ascii="仿宋" w:hAnsi="仿宋"/>
                <w:sz w:val="24"/>
                <w:lang w:eastAsia="zh-CN"/>
              </w:rPr>
              <w:t>2.辖区政府将慢性病防控工作纳入当地政府经济社会发展规划。</w:t>
            </w:r>
          </w:p>
        </w:tc>
        <w:tc>
          <w:tcPr>
            <w:tcW w:w="514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uppressAutoHyphens/>
              <w:textAlignment w:val="top"/>
              <w:rPr>
                <w:rFonts w:ascii="仿宋" w:hAnsi="仿宋" w:eastAsia="仿宋_GB2312" w:cs="仿宋_GB2312"/>
                <w:sz w:val="24"/>
                <w:szCs w:val="24"/>
                <w:lang w:eastAsia="zh-CN"/>
              </w:rPr>
            </w:pPr>
            <w:r>
              <w:rPr>
                <w:rFonts w:hint="eastAsia" w:ascii="仿宋" w:hAnsi="仿宋"/>
                <w:sz w:val="24"/>
                <w:lang w:eastAsia="zh-CN"/>
              </w:rPr>
              <w:t>（1）将慢性病防控工作纳入政府社会经济发展规划。</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rPr>
            </w:pPr>
            <w:r>
              <w:rPr>
                <w:rFonts w:hint="eastAsia" w:ascii="仿宋" w:hAnsi="仿宋"/>
                <w:sz w:val="24"/>
                <w:szCs w:val="24"/>
                <w:lang w:eastAsia="zh-CN" w:bidi="ar"/>
              </w:rPr>
              <w:t>县发改局</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县卫健局</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2024年3月</w:t>
            </w:r>
          </w:p>
        </w:tc>
      </w:tr>
      <w:tr>
        <w:tblPrEx>
          <w:tblCellMar>
            <w:top w:w="0" w:type="dxa"/>
            <w:left w:w="108" w:type="dxa"/>
            <w:bottom w:w="0" w:type="dxa"/>
            <w:right w:w="108" w:type="dxa"/>
          </w:tblCellMar>
        </w:tblPrEx>
        <w:trPr>
          <w:trHeight w:val="563" w:hRule="atLeast"/>
        </w:trPr>
        <w:tc>
          <w:tcPr>
            <w:tcW w:w="735" w:type="dxa"/>
            <w:vMerge w:val="continue"/>
            <w:tcBorders>
              <w:left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1639" w:type="dxa"/>
            <w:vMerge w:val="continue"/>
            <w:tcBorders>
              <w:left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2925" w:type="dxa"/>
            <w:vMerge w:val="continue"/>
            <w:tcBorders>
              <w:top w:val="single" w:color="000000" w:sz="4" w:space="0"/>
              <w:left w:val="single" w:color="000000" w:sz="4" w:space="0"/>
              <w:bottom w:val="single" w:color="auto" w:sz="4" w:space="0"/>
              <w:right w:val="single" w:color="auto" w:sz="4" w:space="0"/>
            </w:tcBorders>
            <w:shd w:val="clear" w:color="auto" w:fill="auto"/>
            <w:vAlign w:val="center"/>
          </w:tcPr>
          <w:p>
            <w:pPr>
              <w:jc w:val="both"/>
              <w:rPr>
                <w:rFonts w:ascii="仿宋" w:hAnsi="仿宋" w:eastAsia="仿宋_GB2312" w:cs="仿宋_GB2312"/>
                <w:sz w:val="24"/>
                <w:szCs w:val="24"/>
              </w:rPr>
            </w:pPr>
          </w:p>
        </w:tc>
        <w:tc>
          <w:tcPr>
            <w:tcW w:w="5142"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仿宋" w:hAnsi="仿宋" w:eastAsia="仿宋_GB2312" w:cs="仿宋_GB2312"/>
                <w:sz w:val="24"/>
                <w:szCs w:val="24"/>
                <w:lang w:eastAsia="zh-CN"/>
              </w:rPr>
            </w:pPr>
            <w:r>
              <w:rPr>
                <w:rFonts w:hint="eastAsia" w:ascii="仿宋" w:hAnsi="仿宋"/>
                <w:sz w:val="24"/>
                <w:lang w:eastAsia="zh-CN"/>
              </w:rPr>
              <w:t>（2）政府制定慢性病综合防控示范区建设实施方案。</w:t>
            </w:r>
          </w:p>
        </w:tc>
        <w:tc>
          <w:tcPr>
            <w:tcW w:w="17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rPr>
            </w:pPr>
            <w:r>
              <w:rPr>
                <w:rFonts w:hint="eastAsia" w:ascii="仿宋" w:hAnsi="仿宋"/>
                <w:sz w:val="24"/>
                <w:szCs w:val="24"/>
                <w:lang w:eastAsia="zh-CN" w:bidi="ar"/>
              </w:rPr>
              <w:t>县政府办</w:t>
            </w:r>
          </w:p>
        </w:tc>
        <w:tc>
          <w:tcPr>
            <w:tcW w:w="166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rPr>
            </w:pPr>
            <w:r>
              <w:rPr>
                <w:rFonts w:hint="eastAsia" w:ascii="仿宋" w:hAnsi="仿宋"/>
                <w:sz w:val="24"/>
                <w:szCs w:val="24"/>
                <w:lang w:eastAsia="zh-CN"/>
              </w:rPr>
              <w:t>县建设办</w:t>
            </w:r>
          </w:p>
        </w:tc>
        <w:tc>
          <w:tcPr>
            <w:tcW w:w="159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2023年11月</w:t>
            </w:r>
          </w:p>
        </w:tc>
      </w:tr>
      <w:tr>
        <w:tblPrEx>
          <w:tblCellMar>
            <w:top w:w="0" w:type="dxa"/>
            <w:left w:w="108" w:type="dxa"/>
            <w:bottom w:w="0" w:type="dxa"/>
            <w:right w:w="108" w:type="dxa"/>
          </w:tblCellMar>
        </w:tblPrEx>
        <w:trPr>
          <w:trHeight w:val="2218" w:hRule="atLeast"/>
        </w:trPr>
        <w:tc>
          <w:tcPr>
            <w:tcW w:w="735" w:type="dxa"/>
            <w:vMerge w:val="continue"/>
            <w:tcBorders>
              <w:left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1639" w:type="dxa"/>
            <w:vMerge w:val="continue"/>
            <w:tcBorders>
              <w:left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2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Fonts w:hint="eastAsia" w:ascii="仿宋" w:hAnsi="仿宋"/>
                <w:sz w:val="24"/>
                <w:lang w:eastAsia="zh-CN"/>
              </w:rPr>
              <w:t>3.将慢性病防控融入各部门公共政策，包括烟草控制、减少有害饮酒、减盐、控油、控制体重、全民健身等慢性病危险因素干预、疾病管理相关政策和干预措施。</w:t>
            </w:r>
          </w:p>
        </w:tc>
        <w:tc>
          <w:tcPr>
            <w:tcW w:w="51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_GB2312" w:cs="仿宋_GB2312"/>
                <w:sz w:val="24"/>
                <w:szCs w:val="24"/>
                <w:lang w:eastAsia="zh-CN"/>
              </w:rPr>
            </w:pPr>
            <w:r>
              <w:rPr>
                <w:rFonts w:hint="eastAsia" w:ascii="仿宋" w:hAnsi="仿宋"/>
                <w:sz w:val="24"/>
                <w:lang w:eastAsia="zh-CN"/>
              </w:rPr>
              <w:t>抽查5个部门相关健康政策制定和落实情况。</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各县级成员单位</w:t>
            </w:r>
          </w:p>
        </w:tc>
        <w:tc>
          <w:tcPr>
            <w:tcW w:w="166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县建设办</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1463" w:hRule="atLeast"/>
        </w:trPr>
        <w:tc>
          <w:tcPr>
            <w:tcW w:w="735" w:type="dxa"/>
            <w:vMerge w:val="continue"/>
            <w:tcBorders>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163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292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_GB2312" w:cs="仿宋_GB2312"/>
                <w:sz w:val="24"/>
                <w:szCs w:val="24"/>
                <w:lang w:eastAsia="zh-CN"/>
              </w:rPr>
            </w:pPr>
            <w:r>
              <w:rPr>
                <w:rFonts w:hint="eastAsia" w:ascii="仿宋" w:hAnsi="仿宋"/>
                <w:sz w:val="24"/>
                <w:lang w:eastAsia="zh-CN"/>
              </w:rPr>
              <w:t>4.示范区建设领导小组建立工作督导制度，开展示范区建设的多部门联合调研和督导。</w:t>
            </w:r>
          </w:p>
        </w:tc>
        <w:tc>
          <w:tcPr>
            <w:tcW w:w="514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_GB2312" w:cs="仿宋_GB2312"/>
                <w:sz w:val="24"/>
                <w:szCs w:val="24"/>
                <w:lang w:eastAsia="zh-CN"/>
              </w:rPr>
            </w:pPr>
            <w:r>
              <w:rPr>
                <w:rFonts w:hint="eastAsia" w:ascii="仿宋" w:hAnsi="仿宋"/>
                <w:sz w:val="24"/>
                <w:lang w:eastAsia="zh-CN"/>
              </w:rPr>
              <w:t>辖区政府主导，每年组织2次由5个及以上部门参与的联合督导，督导内容主要包括：部门合作建立的信息沟通共享、激励问责、质量控制等3个基本运行机制情况。</w:t>
            </w:r>
          </w:p>
        </w:tc>
        <w:tc>
          <w:tcPr>
            <w:tcW w:w="177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rPr>
            </w:pPr>
            <w:r>
              <w:rPr>
                <w:rFonts w:hint="eastAsia" w:ascii="仿宋" w:hAnsi="仿宋"/>
                <w:sz w:val="24"/>
                <w:szCs w:val="24"/>
                <w:lang w:eastAsia="zh-CN" w:bidi="ar"/>
              </w:rPr>
              <w:t>县政府办</w:t>
            </w:r>
          </w:p>
        </w:tc>
        <w:tc>
          <w:tcPr>
            <w:tcW w:w="166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县委目标办、县建设办、各成员单位</w:t>
            </w:r>
          </w:p>
        </w:tc>
        <w:tc>
          <w:tcPr>
            <w:tcW w:w="159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2024年8-9月</w:t>
            </w:r>
          </w:p>
        </w:tc>
      </w:tr>
      <w:tr>
        <w:tblPrEx>
          <w:tblCellMar>
            <w:top w:w="0" w:type="dxa"/>
            <w:left w:w="108" w:type="dxa"/>
            <w:bottom w:w="0" w:type="dxa"/>
            <w:right w:w="108" w:type="dxa"/>
          </w:tblCellMar>
        </w:tblPrEx>
        <w:trPr>
          <w:trHeight w:val="90"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restart"/>
            <w:tcBorders>
              <w:top w:val="single" w:color="000000" w:sz="4" w:space="0"/>
              <w:left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Fonts w:hint="eastAsia" w:ascii="仿宋" w:hAnsi="仿宋"/>
                <w:sz w:val="24"/>
                <w:szCs w:val="24"/>
                <w:lang w:eastAsia="zh-CN" w:bidi="ar"/>
              </w:rPr>
              <w:t>（二）保障慢性病防控经费。</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Fonts w:hint="eastAsia" w:ascii="仿宋" w:hAnsi="仿宋"/>
                <w:sz w:val="24"/>
                <w:szCs w:val="24"/>
                <w:lang w:eastAsia="zh-CN"/>
              </w:rPr>
              <w:t>1.将慢性病防控相关工作经费纳入政府对各部门的年度预算、决算管理。</w:t>
            </w:r>
          </w:p>
        </w:tc>
        <w:tc>
          <w:tcPr>
            <w:tcW w:w="5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15"/>
                <w:rFonts w:hint="default"/>
                <w:b w:val="0"/>
                <w:bCs w:val="0"/>
                <w:color w:val="auto"/>
                <w:lang w:eastAsia="zh-CN" w:bidi="ar"/>
              </w:rPr>
            </w:pPr>
            <w:r>
              <w:rPr>
                <w:rStyle w:val="15"/>
                <w:b w:val="0"/>
                <w:bCs w:val="0"/>
                <w:color w:val="auto"/>
                <w:lang w:eastAsia="zh-CN" w:bidi="ar"/>
              </w:rPr>
              <w:t>（</w:t>
            </w:r>
            <w:r>
              <w:rPr>
                <w:rStyle w:val="16"/>
                <w:rFonts w:hint="eastAsia" w:ascii="仿宋" w:hAnsi="仿宋" w:cs="仿宋"/>
                <w:b w:val="0"/>
                <w:bCs w:val="0"/>
                <w:color w:val="auto"/>
                <w:lang w:eastAsia="zh-CN" w:bidi="ar"/>
              </w:rPr>
              <w:t>1</w:t>
            </w:r>
            <w:r>
              <w:rPr>
                <w:rStyle w:val="15"/>
                <w:b w:val="0"/>
                <w:bCs w:val="0"/>
                <w:color w:val="auto"/>
                <w:lang w:eastAsia="zh-CN" w:bidi="ar"/>
              </w:rPr>
              <w:t>）将慢性病防控相关工作经费纳入政府预算、决算管理。</w:t>
            </w:r>
          </w:p>
          <w:p>
            <w:pPr>
              <w:widowControl/>
              <w:textAlignment w:val="center"/>
              <w:rPr>
                <w:rFonts w:ascii="仿宋" w:hAnsi="仿宋" w:eastAsia="仿宋_GB2312" w:cs="仿宋_GB2312"/>
                <w:sz w:val="24"/>
                <w:szCs w:val="24"/>
                <w:lang w:eastAsia="zh-CN"/>
              </w:rPr>
            </w:pPr>
            <w:r>
              <w:rPr>
                <w:rStyle w:val="15"/>
                <w:b w:val="0"/>
                <w:bCs w:val="0"/>
                <w:color w:val="auto"/>
                <w:lang w:eastAsia="zh-CN" w:bidi="ar"/>
              </w:rPr>
              <w:t>（</w:t>
            </w:r>
            <w:r>
              <w:rPr>
                <w:rStyle w:val="16"/>
                <w:rFonts w:hint="eastAsia" w:ascii="仿宋" w:hAnsi="仿宋" w:cs="仿宋"/>
                <w:b w:val="0"/>
                <w:bCs w:val="0"/>
                <w:color w:val="auto"/>
                <w:lang w:eastAsia="zh-CN" w:bidi="ar"/>
              </w:rPr>
              <w:t>2</w:t>
            </w:r>
            <w:r>
              <w:rPr>
                <w:rStyle w:val="15"/>
                <w:b w:val="0"/>
                <w:bCs w:val="0"/>
                <w:color w:val="auto"/>
                <w:lang w:eastAsia="zh-CN" w:bidi="ar"/>
              </w:rPr>
              <w:t>）经费预算执行率</w:t>
            </w:r>
            <w:r>
              <w:rPr>
                <w:rStyle w:val="16"/>
                <w:rFonts w:hint="eastAsia" w:ascii="仿宋" w:hAnsi="仿宋" w:cs="仿宋"/>
                <w:b w:val="0"/>
                <w:bCs w:val="0"/>
                <w:color w:val="auto"/>
                <w:lang w:eastAsia="zh-CN" w:bidi="ar"/>
              </w:rPr>
              <w:t>情况。</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县财政局</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县卫健局</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2024年3月</w:t>
            </w:r>
          </w:p>
        </w:tc>
      </w:tr>
      <w:tr>
        <w:tblPrEx>
          <w:tblCellMar>
            <w:top w:w="0" w:type="dxa"/>
            <w:left w:w="108" w:type="dxa"/>
            <w:bottom w:w="0" w:type="dxa"/>
            <w:right w:w="108" w:type="dxa"/>
          </w:tblCellMar>
        </w:tblPrEx>
        <w:trPr>
          <w:trHeight w:val="718"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left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Style w:val="17"/>
                <w:rFonts w:hint="eastAsia" w:ascii="仿宋" w:hAnsi="仿宋" w:cs="仿宋"/>
                <w:color w:val="auto"/>
                <w:lang w:eastAsia="zh-CN" w:bidi="ar"/>
              </w:rPr>
              <w:t>2.</w:t>
            </w:r>
            <w:r>
              <w:rPr>
                <w:rFonts w:hint="eastAsia" w:ascii="仿宋" w:hAnsi="仿宋"/>
                <w:sz w:val="24"/>
                <w:lang w:eastAsia="zh-CN"/>
              </w:rPr>
              <w:t>辖区政府按规划、计划提供示范区建设专项工作经费，专款专用。</w:t>
            </w:r>
          </w:p>
        </w:tc>
        <w:tc>
          <w:tcPr>
            <w:tcW w:w="5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14"/>
                <w:rFonts w:hint="default"/>
                <w:color w:val="auto"/>
                <w:lang w:eastAsia="zh-CN" w:bidi="ar"/>
              </w:rPr>
            </w:pPr>
            <w:r>
              <w:rPr>
                <w:rStyle w:val="14"/>
                <w:color w:val="auto"/>
                <w:lang w:eastAsia="zh-CN" w:bidi="ar"/>
              </w:rPr>
              <w:t>（</w:t>
            </w:r>
            <w:r>
              <w:rPr>
                <w:rStyle w:val="17"/>
                <w:rFonts w:hint="eastAsia" w:ascii="仿宋" w:hAnsi="仿宋" w:cs="仿宋"/>
                <w:color w:val="auto"/>
                <w:lang w:eastAsia="zh-CN" w:bidi="ar"/>
              </w:rPr>
              <w:t>1</w:t>
            </w:r>
            <w:r>
              <w:rPr>
                <w:rStyle w:val="14"/>
                <w:color w:val="auto"/>
                <w:lang w:eastAsia="zh-CN" w:bidi="ar"/>
              </w:rPr>
              <w:t>）辖区财政部门将预算的专项经费拨付至相关部门（单位）。</w:t>
            </w:r>
          </w:p>
          <w:p>
            <w:pPr>
              <w:widowControl/>
              <w:textAlignment w:val="center"/>
              <w:rPr>
                <w:rStyle w:val="14"/>
                <w:rFonts w:hint="default" w:eastAsia="仿宋_GB2312" w:cs="仿宋_GB2312"/>
                <w:color w:val="auto"/>
                <w:lang w:eastAsia="zh-CN" w:bidi="ar"/>
              </w:rPr>
            </w:pPr>
            <w:r>
              <w:rPr>
                <w:rStyle w:val="14"/>
                <w:color w:val="auto"/>
                <w:lang w:eastAsia="zh-CN" w:bidi="ar"/>
              </w:rPr>
              <w:t>（</w:t>
            </w:r>
            <w:r>
              <w:rPr>
                <w:rStyle w:val="17"/>
                <w:rFonts w:hint="eastAsia" w:ascii="仿宋" w:hAnsi="仿宋" w:cs="仿宋"/>
                <w:color w:val="auto"/>
                <w:lang w:eastAsia="zh-CN" w:bidi="ar"/>
              </w:rPr>
              <w:t>2</w:t>
            </w:r>
            <w:r>
              <w:rPr>
                <w:rStyle w:val="14"/>
                <w:color w:val="auto"/>
                <w:lang w:eastAsia="zh-CN" w:bidi="ar"/>
              </w:rPr>
              <w:t>）慢性病防控经费专项管理，确保专款专用。</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rPr>
            </w:pPr>
            <w:r>
              <w:rPr>
                <w:rFonts w:hint="eastAsia" w:ascii="仿宋" w:hAnsi="仿宋"/>
                <w:sz w:val="24"/>
                <w:szCs w:val="24"/>
                <w:lang w:eastAsia="zh-CN" w:bidi="ar"/>
              </w:rPr>
              <w:t>县财政局</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县卫健局</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2024年3月</w:t>
            </w:r>
          </w:p>
        </w:tc>
      </w:tr>
      <w:tr>
        <w:tblPrEx>
          <w:tblCellMar>
            <w:top w:w="0" w:type="dxa"/>
            <w:left w:w="108" w:type="dxa"/>
            <w:bottom w:w="0" w:type="dxa"/>
            <w:right w:w="108" w:type="dxa"/>
          </w:tblCellMar>
        </w:tblPrEx>
        <w:trPr>
          <w:trHeight w:val="680"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Style w:val="17"/>
                <w:rFonts w:ascii="仿宋" w:hAnsi="仿宋" w:eastAsia="仿宋_GB2312" w:cs="仿宋_GB2312"/>
                <w:color w:val="auto"/>
                <w:lang w:eastAsia="zh-CN" w:bidi="ar"/>
              </w:rPr>
            </w:pPr>
            <w:r>
              <w:rPr>
                <w:rStyle w:val="17"/>
                <w:rFonts w:hint="eastAsia" w:ascii="仿宋" w:hAnsi="仿宋" w:cs="仿宋"/>
                <w:color w:val="auto"/>
                <w:lang w:eastAsia="zh-CN" w:bidi="ar"/>
              </w:rPr>
              <w:t>3.常态化保障疾病预防控制机构的慢性病防控工作经费。</w:t>
            </w:r>
          </w:p>
        </w:tc>
        <w:tc>
          <w:tcPr>
            <w:tcW w:w="5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14"/>
                <w:rFonts w:hint="default" w:eastAsia="仿宋_GB2312" w:cs="仿宋_GB2312"/>
                <w:color w:val="auto"/>
                <w:lang w:eastAsia="zh-CN" w:bidi="ar"/>
              </w:rPr>
            </w:pPr>
            <w:r>
              <w:rPr>
                <w:rStyle w:val="14"/>
                <w:color w:val="auto"/>
                <w:lang w:eastAsia="zh-CN" w:bidi="ar"/>
              </w:rPr>
              <w:t>常态化慢性病防控工作经费占疾病预防控制机构业务总经费的比例高于10%。</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lang w:eastAsia="zh-CN" w:bidi="ar"/>
              </w:rPr>
            </w:pPr>
            <w:r>
              <w:rPr>
                <w:rFonts w:hint="eastAsia" w:ascii="仿宋" w:hAnsi="仿宋"/>
                <w:sz w:val="24"/>
                <w:szCs w:val="24"/>
                <w:lang w:eastAsia="zh-CN" w:bidi="ar"/>
              </w:rPr>
              <w:t>县财政局</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县卫健局</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2024年3月</w:t>
            </w:r>
          </w:p>
        </w:tc>
      </w:tr>
      <w:tr>
        <w:tblPrEx>
          <w:tblCellMar>
            <w:top w:w="0" w:type="dxa"/>
            <w:left w:w="108" w:type="dxa"/>
            <w:bottom w:w="0" w:type="dxa"/>
            <w:right w:w="108" w:type="dxa"/>
          </w:tblCellMar>
        </w:tblPrEx>
        <w:trPr>
          <w:trHeight w:val="1196"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restart"/>
            <w:tcBorders>
              <w:top w:val="single" w:color="000000" w:sz="4" w:space="0"/>
              <w:left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Style w:val="18"/>
                <w:color w:val="auto"/>
                <w:sz w:val="24"/>
                <w:szCs w:val="24"/>
                <w:lang w:eastAsia="zh-CN" w:bidi="ar"/>
              </w:rPr>
              <w:t>（三）建立有效的绩效管理及评价机制。</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Style w:val="17"/>
                <w:rFonts w:ascii="仿宋" w:hAnsi="仿宋" w:eastAsia="仿宋_GB2312" w:cs="仿宋_GB2312"/>
                <w:color w:val="auto"/>
                <w:lang w:eastAsia="zh-CN" w:bidi="ar"/>
              </w:rPr>
            </w:pPr>
            <w:r>
              <w:rPr>
                <w:rStyle w:val="17"/>
                <w:rFonts w:hint="eastAsia" w:ascii="仿宋" w:hAnsi="仿宋" w:cs="仿宋"/>
                <w:color w:val="auto"/>
                <w:lang w:eastAsia="zh-CN" w:bidi="ar"/>
              </w:rPr>
              <w:t>1.辖区政府将示范区建设实施方案相关工作纳入各街道（乡镇）政府和相关部门年度目标绩效管理。</w:t>
            </w:r>
          </w:p>
        </w:tc>
        <w:tc>
          <w:tcPr>
            <w:tcW w:w="51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Style w:val="14"/>
                <w:rFonts w:hint="default" w:eastAsia="仿宋_GB2312" w:cs="仿宋_GB2312"/>
                <w:color w:val="auto"/>
                <w:lang w:eastAsia="zh-CN" w:bidi="ar"/>
              </w:rPr>
            </w:pPr>
            <w:r>
              <w:rPr>
                <w:rStyle w:val="14"/>
                <w:color w:val="auto"/>
                <w:lang w:eastAsia="zh-CN" w:bidi="ar"/>
              </w:rPr>
              <w:t>辖区政府将示范区建设工作纳入对各街道（乡镇）政府和相关部门的年度目标绩效管理，抽查5个街道（乡镇）政府或相关部门示范区建设</w:t>
            </w:r>
            <w:r>
              <w:rPr>
                <w:rFonts w:hint="eastAsia" w:ascii="仿宋" w:hAnsi="仿宋"/>
                <w:sz w:val="24"/>
                <w:lang w:eastAsia="zh-CN"/>
              </w:rPr>
              <w:t>纳入目标管理情况</w:t>
            </w:r>
            <w:r>
              <w:rPr>
                <w:rStyle w:val="14"/>
                <w:color w:val="auto"/>
                <w:lang w:eastAsia="zh-CN" w:bidi="ar"/>
              </w:rPr>
              <w:t>。</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_GB2312" w:cs="仿宋_GB2312"/>
                <w:sz w:val="24"/>
                <w:szCs w:val="24"/>
                <w:lang w:eastAsia="zh-CN" w:bidi="ar"/>
              </w:rPr>
            </w:pPr>
            <w:r>
              <w:rPr>
                <w:rFonts w:hint="eastAsia" w:ascii="仿宋" w:hAnsi="仿宋"/>
                <w:sz w:val="24"/>
                <w:szCs w:val="24"/>
                <w:lang w:eastAsia="zh-CN"/>
              </w:rPr>
              <w:t>各县级成员单位、各乡镇人民政府</w:t>
            </w:r>
          </w:p>
        </w:tc>
        <w:tc>
          <w:tcPr>
            <w:tcW w:w="1661" w:type="dxa"/>
            <w:tcBorders>
              <w:top w:val="single" w:color="000000"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县政府办、</w:t>
            </w:r>
            <w:r>
              <w:rPr>
                <w:rFonts w:hint="eastAsia" w:ascii="仿宋" w:hAnsi="仿宋"/>
                <w:sz w:val="24"/>
                <w:szCs w:val="24"/>
                <w:lang w:eastAsia="zh-CN" w:bidi="ar"/>
              </w:rPr>
              <w:t>县委目标办</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2024年3月</w:t>
            </w:r>
          </w:p>
        </w:tc>
      </w:tr>
      <w:tr>
        <w:tblPrEx>
          <w:tblCellMar>
            <w:top w:w="0" w:type="dxa"/>
            <w:left w:w="108" w:type="dxa"/>
            <w:bottom w:w="0" w:type="dxa"/>
            <w:right w:w="108" w:type="dxa"/>
          </w:tblCellMar>
        </w:tblPrEx>
        <w:trPr>
          <w:trHeight w:val="1201"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left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292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Style w:val="17"/>
                <w:rFonts w:hint="eastAsia" w:ascii="仿宋" w:hAnsi="仿宋" w:cs="仿宋"/>
                <w:color w:val="auto"/>
                <w:lang w:eastAsia="zh-CN" w:bidi="ar"/>
              </w:rPr>
              <w:t>2.辖区政府将示范区建设实施方案相关工作纳入各街道（乡镇）政府和各部门绩效考核，落实问责制。</w:t>
            </w:r>
          </w:p>
        </w:tc>
        <w:tc>
          <w:tcPr>
            <w:tcW w:w="5142"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textAlignment w:val="center"/>
              <w:rPr>
                <w:rFonts w:ascii="仿宋" w:hAnsi="仿宋" w:eastAsia="仿宋_GB2312" w:cs="仿宋_GB2312"/>
                <w:sz w:val="24"/>
                <w:szCs w:val="24"/>
                <w:lang w:eastAsia="zh-CN"/>
              </w:rPr>
            </w:pPr>
            <w:r>
              <w:rPr>
                <w:rStyle w:val="14"/>
                <w:color w:val="auto"/>
                <w:lang w:eastAsia="zh-CN" w:bidi="ar"/>
              </w:rPr>
              <w:t>抽查5个街道（乡镇）政府或相关部门的职能科室，询问相关职责知晓与执行情况。</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县委目标办</w:t>
            </w:r>
          </w:p>
        </w:tc>
        <w:tc>
          <w:tcPr>
            <w:tcW w:w="166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县政府办、各县级成员单位、各乡镇人民政府</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90"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292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Style w:val="17"/>
                <w:rFonts w:hint="eastAsia" w:ascii="仿宋" w:hAnsi="仿宋" w:cs="仿宋"/>
                <w:color w:val="auto"/>
                <w:lang w:eastAsia="zh-CN" w:bidi="ar"/>
              </w:rPr>
              <w:t>3.</w:t>
            </w:r>
            <w:r>
              <w:rPr>
                <w:rFonts w:hint="eastAsia" w:ascii="仿宋" w:hAnsi="仿宋"/>
                <w:sz w:val="24"/>
                <w:lang w:eastAsia="zh-CN"/>
              </w:rPr>
              <w:t>采用多种形式获取群众对辖区慢性病综合防控的参与度和满意度。</w:t>
            </w:r>
          </w:p>
        </w:tc>
        <w:tc>
          <w:tcPr>
            <w:tcW w:w="514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仿宋" w:hAnsi="仿宋" w:eastAsia="仿宋_GB2312" w:cs="仿宋_GB2312"/>
                <w:sz w:val="24"/>
                <w:szCs w:val="24"/>
                <w:lang w:eastAsia="zh-CN"/>
              </w:rPr>
            </w:pPr>
            <w:r>
              <w:rPr>
                <w:rFonts w:hint="eastAsia" w:ascii="仿宋" w:hAnsi="仿宋"/>
                <w:sz w:val="24"/>
                <w:lang w:eastAsia="zh-CN"/>
              </w:rPr>
              <w:t>采用多种形式获取群众对辖区慢性病综合防控的参与度和满意度，并形成相关评价报告</w:t>
            </w:r>
            <w:r>
              <w:rPr>
                <w:rStyle w:val="14"/>
                <w:color w:val="auto"/>
                <w:lang w:eastAsia="zh-CN" w:bidi="ar"/>
              </w:rPr>
              <w:t>。</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各县级成员单位、各乡镇人民政府</w:t>
            </w:r>
          </w:p>
        </w:tc>
        <w:tc>
          <w:tcPr>
            <w:tcW w:w="166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ascii="仿宋" w:hAnsi="仿宋" w:eastAsia="仿宋_GB2312" w:cs="仿宋_GB2312"/>
                <w:sz w:val="24"/>
                <w:szCs w:val="24"/>
              </w:rPr>
            </w:pPr>
            <w:r>
              <w:rPr>
                <w:rFonts w:hint="eastAsia" w:ascii="仿宋" w:hAnsi="仿宋"/>
                <w:sz w:val="24"/>
                <w:szCs w:val="24"/>
                <w:lang w:eastAsia="zh-CN"/>
              </w:rPr>
              <w:t>县建设办</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863"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restart"/>
            <w:tcBorders>
              <w:top w:val="single" w:color="auto" w:sz="4" w:space="0"/>
              <w:left w:val="single" w:color="000000" w:sz="4" w:space="0"/>
              <w:right w:val="single" w:color="000000" w:sz="4" w:space="0"/>
            </w:tcBorders>
            <w:shd w:val="clear" w:color="auto" w:fill="auto"/>
            <w:vAlign w:val="center"/>
          </w:tcPr>
          <w:p>
            <w:pPr>
              <w:jc w:val="both"/>
              <w:rPr>
                <w:rFonts w:ascii="仿宋" w:hAnsi="仿宋" w:eastAsia="仿宋_GB2312" w:cs="仿宋_GB2312"/>
                <w:sz w:val="24"/>
                <w:szCs w:val="24"/>
                <w:lang w:eastAsia="zh-CN"/>
              </w:rPr>
            </w:pPr>
            <w:r>
              <w:rPr>
                <w:rStyle w:val="18"/>
                <w:color w:val="auto"/>
                <w:sz w:val="24"/>
                <w:szCs w:val="24"/>
                <w:lang w:eastAsia="zh-CN" w:bidi="ar"/>
              </w:rPr>
              <w:t>（四）</w:t>
            </w:r>
            <w:r>
              <w:rPr>
                <w:rFonts w:hint="eastAsia" w:ascii="仿宋" w:hAnsi="仿宋"/>
                <w:sz w:val="24"/>
                <w:lang w:eastAsia="zh-CN"/>
              </w:rPr>
              <w:t>辖区政府定期发布慢性病及社会影响因素状况报告</w:t>
            </w:r>
            <w:r>
              <w:rPr>
                <w:rStyle w:val="18"/>
                <w:color w:val="auto"/>
                <w:sz w:val="24"/>
                <w:szCs w:val="24"/>
                <w:lang w:eastAsia="zh-CN" w:bidi="ar"/>
              </w:rPr>
              <w:t>。</w:t>
            </w:r>
          </w:p>
        </w:tc>
        <w:tc>
          <w:tcPr>
            <w:tcW w:w="2925" w:type="dxa"/>
            <w:tcBorders>
              <w:top w:val="single" w:color="000000" w:sz="4" w:space="0"/>
              <w:left w:val="single" w:color="000000" w:sz="4" w:space="0"/>
              <w:bottom w:val="single" w:color="auto" w:sz="4" w:space="0"/>
              <w:right w:val="single" w:color="000000" w:sz="4" w:space="0"/>
            </w:tcBorders>
            <w:shd w:val="clear" w:color="auto" w:fill="auto"/>
          </w:tcPr>
          <w:p>
            <w:pPr>
              <w:widowControl/>
              <w:textAlignment w:val="top"/>
              <w:rPr>
                <w:rStyle w:val="17"/>
                <w:rFonts w:ascii="仿宋" w:hAnsi="仿宋" w:eastAsia="仿宋_GB2312" w:cs="仿宋_GB2312"/>
                <w:color w:val="auto"/>
                <w:lang w:eastAsia="zh-CN" w:bidi="ar"/>
              </w:rPr>
            </w:pPr>
            <w:r>
              <w:rPr>
                <w:rFonts w:hint="eastAsia" w:ascii="仿宋" w:hAnsi="仿宋"/>
                <w:sz w:val="24"/>
                <w:szCs w:val="24"/>
                <w:lang w:eastAsia="zh-CN"/>
              </w:rPr>
              <w:t>1.辖区政府定期发布慢性病及社会影响因素状况报告。</w:t>
            </w:r>
          </w:p>
        </w:tc>
        <w:tc>
          <w:tcPr>
            <w:tcW w:w="5142" w:type="dxa"/>
            <w:tcBorders>
              <w:top w:val="single" w:color="000000" w:sz="4" w:space="0"/>
              <w:left w:val="single" w:color="000000" w:sz="4" w:space="0"/>
              <w:bottom w:val="single" w:color="auto" w:sz="4" w:space="0"/>
              <w:right w:val="single" w:color="000000" w:sz="4" w:space="0"/>
            </w:tcBorders>
            <w:shd w:val="clear" w:color="auto" w:fill="auto"/>
          </w:tcPr>
          <w:p>
            <w:pPr>
              <w:widowControl/>
              <w:textAlignment w:val="top"/>
              <w:rPr>
                <w:rFonts w:ascii="仿宋" w:hAnsi="仿宋"/>
                <w:sz w:val="24"/>
                <w:szCs w:val="24"/>
                <w:lang w:eastAsia="zh-CN"/>
              </w:rPr>
            </w:pPr>
            <w:r>
              <w:rPr>
                <w:rFonts w:hint="eastAsia" w:ascii="仿宋" w:hAnsi="仿宋"/>
                <w:sz w:val="24"/>
                <w:szCs w:val="24"/>
                <w:lang w:eastAsia="zh-CN"/>
              </w:rPr>
              <w:t>（1）辖区政府定期发布慢性病及社会影响因素状况报告。</w:t>
            </w:r>
          </w:p>
          <w:p>
            <w:pPr>
              <w:widowControl/>
              <w:textAlignment w:val="top"/>
              <w:rPr>
                <w:rStyle w:val="14"/>
                <w:rFonts w:hint="default" w:eastAsia="仿宋_GB2312" w:cs="仿宋_GB2312"/>
                <w:color w:val="auto"/>
                <w:lang w:eastAsia="zh-CN" w:bidi="ar"/>
              </w:rPr>
            </w:pPr>
            <w:r>
              <w:rPr>
                <w:rFonts w:hint="eastAsia" w:ascii="仿宋" w:hAnsi="仿宋"/>
                <w:sz w:val="24"/>
                <w:szCs w:val="24"/>
                <w:lang w:eastAsia="zh-CN"/>
              </w:rPr>
              <w:t>（2）报告主要结果用于政府工作报告。</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bidi="ar"/>
              </w:rPr>
              <w:t>县政府办</w:t>
            </w:r>
          </w:p>
        </w:tc>
        <w:tc>
          <w:tcPr>
            <w:tcW w:w="166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县建设办</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681"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292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top"/>
              <w:rPr>
                <w:rStyle w:val="17"/>
                <w:rFonts w:ascii="仿宋" w:hAnsi="仿宋" w:eastAsia="仿宋_GB2312" w:cs="仿宋_GB2312"/>
                <w:color w:val="auto"/>
                <w:lang w:eastAsia="zh-CN" w:bidi="ar"/>
              </w:rPr>
            </w:pPr>
            <w:r>
              <w:rPr>
                <w:rFonts w:hint="eastAsia" w:ascii="仿宋" w:hAnsi="仿宋"/>
                <w:sz w:val="24"/>
                <w:szCs w:val="24"/>
                <w:lang w:eastAsia="zh-CN"/>
              </w:rPr>
              <w:t>2.辖区居民健康状况优于全国平均水平。</w:t>
            </w:r>
          </w:p>
        </w:tc>
        <w:tc>
          <w:tcPr>
            <w:tcW w:w="5142" w:type="dxa"/>
            <w:tcBorders>
              <w:top w:val="single" w:color="000000" w:sz="4" w:space="0"/>
              <w:left w:val="single" w:color="000000" w:sz="4" w:space="0"/>
              <w:bottom w:val="single" w:color="auto" w:sz="4" w:space="0"/>
              <w:right w:val="single" w:color="000000" w:sz="4" w:space="0"/>
            </w:tcBorders>
            <w:shd w:val="clear" w:color="auto" w:fill="auto"/>
          </w:tcPr>
          <w:p>
            <w:pPr>
              <w:widowControl/>
              <w:textAlignment w:val="top"/>
              <w:rPr>
                <w:rFonts w:ascii="仿宋" w:hAnsi="仿宋"/>
                <w:sz w:val="24"/>
                <w:szCs w:val="24"/>
                <w:lang w:eastAsia="zh-CN"/>
              </w:rPr>
            </w:pPr>
            <w:r>
              <w:rPr>
                <w:rFonts w:hint="eastAsia" w:ascii="仿宋" w:hAnsi="仿宋"/>
                <w:sz w:val="24"/>
                <w:szCs w:val="24"/>
                <w:lang w:eastAsia="zh-CN"/>
              </w:rPr>
              <w:t>（1）重大慢性病过早死亡率5年下降</w:t>
            </w:r>
            <w:r>
              <w:rPr>
                <w:rStyle w:val="19"/>
                <w:rFonts w:ascii="仿宋" w:hAnsi="仿宋" w:eastAsia="仿宋" w:cs="仿宋"/>
                <w:color w:val="auto"/>
                <w:lang w:eastAsia="zh-CN"/>
              </w:rPr>
              <w:t>≥</w:t>
            </w:r>
            <w:r>
              <w:rPr>
                <w:rFonts w:hint="eastAsia" w:ascii="仿宋" w:hAnsi="仿宋"/>
                <w:sz w:val="24"/>
                <w:szCs w:val="24"/>
                <w:lang w:eastAsia="zh-CN"/>
              </w:rPr>
              <w:t xml:space="preserve">10%。                         </w:t>
            </w:r>
          </w:p>
          <w:p>
            <w:pPr>
              <w:widowControl/>
              <w:textAlignment w:val="top"/>
              <w:rPr>
                <w:rFonts w:ascii="仿宋" w:hAnsi="仿宋"/>
                <w:sz w:val="24"/>
                <w:szCs w:val="24"/>
                <w:lang w:eastAsia="zh-CN"/>
              </w:rPr>
            </w:pPr>
            <w:r>
              <w:rPr>
                <w:rFonts w:hint="eastAsia" w:ascii="仿宋" w:hAnsi="仿宋"/>
                <w:sz w:val="24"/>
                <w:szCs w:val="24"/>
                <w:lang w:eastAsia="zh-CN"/>
              </w:rPr>
              <w:t>（2）心脑血管疾病标化死亡率降至205.1/10万及以下。</w:t>
            </w:r>
          </w:p>
          <w:p>
            <w:pPr>
              <w:widowControl/>
              <w:textAlignment w:val="top"/>
              <w:rPr>
                <w:rStyle w:val="14"/>
                <w:rFonts w:hint="default" w:eastAsia="仿宋_GB2312" w:cs="仿宋_GB2312"/>
                <w:color w:val="auto"/>
                <w:lang w:eastAsia="zh-CN" w:bidi="ar"/>
              </w:rPr>
            </w:pPr>
            <w:r>
              <w:rPr>
                <w:rFonts w:hint="eastAsia" w:ascii="仿宋" w:hAnsi="仿宋"/>
                <w:sz w:val="24"/>
                <w:szCs w:val="24"/>
                <w:lang w:eastAsia="zh-CN"/>
              </w:rPr>
              <w:t>（3）70岁及以下人群慢性呼吸系统疾病标化死亡率降至9.0/10万及以下。</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县卫健局</w:t>
            </w:r>
          </w:p>
        </w:tc>
        <w:tc>
          <w:tcPr>
            <w:tcW w:w="166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各级医疗卫生机构</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574" w:hRule="atLeast"/>
        </w:trPr>
        <w:tc>
          <w:tcPr>
            <w:tcW w:w="735"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Times New Roman"/>
                <w:sz w:val="24"/>
                <w:szCs w:val="24"/>
              </w:rPr>
            </w:pPr>
            <w:r>
              <w:rPr>
                <w:rFonts w:ascii="仿宋" w:hAnsi="仿宋"/>
                <w:sz w:val="24"/>
                <w:szCs w:val="24"/>
                <w:lang w:eastAsia="zh-CN" w:bidi="ar"/>
              </w:rPr>
              <w:t>二、环境支持</w:t>
            </w:r>
          </w:p>
        </w:tc>
        <w:tc>
          <w:tcPr>
            <w:tcW w:w="16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Fonts w:hint="eastAsia" w:ascii="仿宋" w:hAnsi="仿宋"/>
                <w:sz w:val="24"/>
                <w:szCs w:val="24"/>
                <w:lang w:eastAsia="zh-CN" w:bidi="ar"/>
              </w:rPr>
              <w:t>（一）实施健康细胞工程，构建全方位健康支持性环境。</w:t>
            </w:r>
          </w:p>
        </w:tc>
        <w:tc>
          <w:tcPr>
            <w:tcW w:w="2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eastAsia="仿宋_GB2312" w:cs="仿宋_GB2312"/>
                <w:kern w:val="2"/>
                <w:sz w:val="24"/>
                <w:szCs w:val="24"/>
                <w:lang w:eastAsia="zh-CN"/>
              </w:rPr>
            </w:pPr>
            <w:r>
              <w:rPr>
                <w:rStyle w:val="17"/>
                <w:rFonts w:hint="eastAsia" w:ascii="仿宋" w:hAnsi="仿宋" w:cs="仿宋"/>
                <w:color w:val="auto"/>
                <w:lang w:eastAsia="zh-CN" w:bidi="ar"/>
              </w:rPr>
              <w:t>1.结合健康（卫生）城市（县城、街镇）建设，按照国家标准开展健康家庭、健康社区（村组）、健康单位（机关、企业）、健康学校、健康食堂（餐厅、酒店）、健康市场（超市、商场）等健康支持性环境建设，数量逐年增加。</w:t>
            </w:r>
          </w:p>
        </w:tc>
        <w:tc>
          <w:tcPr>
            <w:tcW w:w="51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Style w:val="17"/>
                <w:rFonts w:ascii="仿宋" w:hAnsi="仿宋" w:cs="仿宋"/>
                <w:color w:val="auto"/>
                <w:lang w:eastAsia="zh-CN" w:bidi="ar"/>
              </w:rPr>
            </w:pPr>
            <w:r>
              <w:rPr>
                <w:rStyle w:val="17"/>
                <w:rFonts w:hint="eastAsia" w:ascii="仿宋" w:hAnsi="仿宋" w:cs="仿宋"/>
                <w:color w:val="auto"/>
                <w:lang w:eastAsia="zh-CN" w:bidi="ar"/>
              </w:rPr>
              <w:t>（1）开展健康家庭评选活动的健康社区（村组）占辖区社区（村组）总数的30%及以上（每个社区至少评选10个健康家庭）。</w:t>
            </w:r>
          </w:p>
          <w:p>
            <w:pPr>
              <w:widowControl/>
              <w:jc w:val="both"/>
              <w:textAlignment w:val="center"/>
              <w:rPr>
                <w:rFonts w:ascii="仿宋" w:hAnsi="仿宋" w:eastAsia="仿宋_GB2312" w:cs="仿宋_GB2312"/>
                <w:kern w:val="2"/>
                <w:sz w:val="24"/>
                <w:szCs w:val="24"/>
                <w:lang w:eastAsia="zh-CN"/>
              </w:rPr>
            </w:pPr>
            <w:r>
              <w:rPr>
                <w:rStyle w:val="17"/>
                <w:rFonts w:hint="eastAsia" w:ascii="仿宋" w:hAnsi="仿宋" w:cs="仿宋"/>
                <w:color w:val="auto"/>
                <w:lang w:eastAsia="zh-CN" w:bidi="ar"/>
              </w:rPr>
              <w:t>（2）健康单位（机关、企业）、健康学校、健康食堂（餐厅、酒店）、健康市场（超市、商场）每类不少于5个。</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Style w:val="17"/>
                <w:rFonts w:hint="eastAsia" w:ascii="仿宋" w:hAnsi="仿宋" w:cs="仿宋"/>
                <w:color w:val="auto"/>
                <w:lang w:eastAsia="zh-CN" w:bidi="ar"/>
              </w:rPr>
              <w:t>健康社区（村组）由各乡镇政府牵头；健康家庭由县妇联牵头，各乡镇人民政府配合；健康单位（机关、企业）由县机关事务服务中心和县经科局牵头；健康学校由县教体局牵头；健康食堂（餐厅、酒店）、健康市场（超市、商场）由县商务局、县文旅局和县市场监管局分类牵头</w:t>
            </w:r>
          </w:p>
        </w:tc>
        <w:tc>
          <w:tcPr>
            <w:tcW w:w="1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县建设办</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1570"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Times New Roman"/>
                <w:sz w:val="24"/>
                <w:szCs w:val="24"/>
              </w:rPr>
            </w:pPr>
          </w:p>
        </w:tc>
        <w:tc>
          <w:tcPr>
            <w:tcW w:w="1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rPr>
            </w:pPr>
          </w:p>
        </w:tc>
        <w:tc>
          <w:tcPr>
            <w:tcW w:w="29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 w:hAnsi="仿宋" w:eastAsia="仿宋_GB2312" w:cs="仿宋_GB2312"/>
                <w:sz w:val="24"/>
                <w:szCs w:val="24"/>
                <w:lang w:eastAsia="zh-CN"/>
              </w:rPr>
            </w:pPr>
            <w:r>
              <w:rPr>
                <w:rStyle w:val="17"/>
                <w:rFonts w:hint="eastAsia" w:ascii="仿宋" w:hAnsi="仿宋" w:cs="仿宋"/>
                <w:color w:val="auto"/>
                <w:lang w:eastAsia="zh-CN" w:bidi="ar"/>
              </w:rPr>
              <w:t>2.按照国家标准开展健康主题公园、健康步道、健康小屋、健康街区、健康社团等健康支持性环境建设，数量逐年增加。</w:t>
            </w:r>
          </w:p>
        </w:tc>
        <w:tc>
          <w:tcPr>
            <w:tcW w:w="51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_GB2312" w:cs="仿宋_GB2312"/>
                <w:sz w:val="24"/>
                <w:szCs w:val="24"/>
                <w:lang w:eastAsia="zh-CN"/>
              </w:rPr>
            </w:pPr>
            <w:r>
              <w:rPr>
                <w:rFonts w:hint="eastAsia" w:ascii="仿宋" w:hAnsi="仿宋"/>
                <w:sz w:val="24"/>
                <w:lang w:eastAsia="zh-CN"/>
              </w:rPr>
              <w:t>健康主题公园、健康步道、健康小屋、健康街区、健康社团等，每类至少建设1个。</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 w:hAnsi="仿宋" w:eastAsia="仿宋_GB2312" w:cs="仿宋_GB2312"/>
                <w:sz w:val="24"/>
                <w:szCs w:val="24"/>
                <w:lang w:eastAsia="zh-CN"/>
              </w:rPr>
            </w:pPr>
            <w:r>
              <w:rPr>
                <w:rStyle w:val="17"/>
                <w:rFonts w:hint="eastAsia" w:ascii="仿宋" w:hAnsi="仿宋" w:cs="仿宋"/>
                <w:color w:val="auto"/>
                <w:lang w:eastAsia="zh-CN" w:bidi="ar"/>
              </w:rPr>
              <w:t>健康主题公园、健康步道、健康街区由县住建局和县执法局牵头，县教体局配合；健康小屋由县卫健局牵头，县执法局配合</w:t>
            </w:r>
          </w:p>
        </w:tc>
        <w:tc>
          <w:tcPr>
            <w:tcW w:w="1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县建设办</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1684"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 w:hAnsi="仿宋" w:eastAsia="仿宋_GB2312" w:cs="仿宋_GB2312"/>
                <w:sz w:val="24"/>
                <w:szCs w:val="24"/>
                <w:lang w:eastAsia="zh-CN"/>
              </w:rPr>
            </w:pPr>
            <w:r>
              <w:rPr>
                <w:rStyle w:val="18"/>
                <w:color w:val="auto"/>
                <w:sz w:val="24"/>
                <w:szCs w:val="24"/>
                <w:lang w:eastAsia="zh-CN" w:bidi="ar"/>
              </w:rPr>
              <w:t>（二）</w:t>
            </w:r>
            <w:r>
              <w:rPr>
                <w:rFonts w:hint="eastAsia" w:ascii="仿宋" w:hAnsi="仿宋"/>
                <w:sz w:val="24"/>
                <w:lang w:eastAsia="zh-CN"/>
              </w:rPr>
              <w:t>为群众提供方便、可及的自助式健康检测服务</w:t>
            </w:r>
            <w:r>
              <w:rPr>
                <w:rStyle w:val="18"/>
                <w:color w:val="auto"/>
                <w:sz w:val="24"/>
                <w:szCs w:val="24"/>
                <w:lang w:eastAsia="zh-CN" w:bidi="ar"/>
              </w:rPr>
              <w:t>。</w:t>
            </w:r>
          </w:p>
        </w:tc>
        <w:tc>
          <w:tcPr>
            <w:tcW w:w="2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Style w:val="17"/>
                <w:rFonts w:hint="eastAsia" w:ascii="仿宋" w:hAnsi="仿宋" w:cs="仿宋"/>
                <w:color w:val="auto"/>
                <w:lang w:eastAsia="zh-CN" w:bidi="ar"/>
              </w:rPr>
              <w:t>1.</w:t>
            </w:r>
            <w:r>
              <w:rPr>
                <w:rFonts w:hint="eastAsia" w:ascii="仿宋" w:hAnsi="仿宋"/>
                <w:sz w:val="24"/>
                <w:lang w:eastAsia="zh-CN"/>
              </w:rPr>
              <w:t>社区卫生服务中心和乡镇卫生院设置自助式健康检测点（检测项目包括身高、体重、腰围、血压等），并提供个体化健康指导</w:t>
            </w:r>
            <w:r>
              <w:rPr>
                <w:rStyle w:val="14"/>
                <w:color w:val="auto"/>
                <w:lang w:eastAsia="zh-CN" w:bidi="ar"/>
              </w:rPr>
              <w:t>。</w:t>
            </w:r>
          </w:p>
        </w:tc>
        <w:tc>
          <w:tcPr>
            <w:tcW w:w="51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（1）设置自助式健康检测点的社区卫生服务中心和乡镇卫生院覆盖率达100%。</w:t>
            </w:r>
          </w:p>
          <w:p>
            <w:pPr>
              <w:widowControl/>
              <w:jc w:val="both"/>
              <w:textAlignment w:val="center"/>
              <w:rPr>
                <w:rFonts w:ascii="仿宋" w:hAnsi="仿宋"/>
                <w:sz w:val="24"/>
                <w:lang w:eastAsia="zh-CN"/>
              </w:rPr>
            </w:pPr>
            <w:r>
              <w:rPr>
                <w:rFonts w:hint="eastAsia" w:ascii="仿宋" w:hAnsi="仿宋" w:cs="仿宋_GB2312"/>
                <w:sz w:val="24"/>
                <w:lang w:eastAsia="zh-CN"/>
              </w:rPr>
              <w:t>（</w:t>
            </w:r>
            <w:r>
              <w:rPr>
                <w:rFonts w:hint="eastAsia" w:ascii="仿宋" w:hAnsi="仿宋"/>
                <w:sz w:val="24"/>
                <w:lang w:eastAsia="zh-CN"/>
              </w:rPr>
              <w:t>2）检测结果进入健康档案，实现信息利用。</w:t>
            </w:r>
          </w:p>
          <w:p>
            <w:pPr>
              <w:widowControl/>
              <w:jc w:val="both"/>
              <w:textAlignment w:val="center"/>
              <w:rPr>
                <w:rFonts w:ascii="仿宋" w:hAnsi="仿宋" w:eastAsia="仿宋_GB2312" w:cs="仿宋_GB2312"/>
                <w:sz w:val="24"/>
                <w:szCs w:val="24"/>
                <w:lang w:eastAsia="zh-CN"/>
              </w:rPr>
            </w:pPr>
            <w:r>
              <w:rPr>
                <w:rFonts w:hint="eastAsia" w:ascii="仿宋" w:hAnsi="仿宋" w:cs="仿宋_GB2312"/>
                <w:sz w:val="24"/>
                <w:lang w:eastAsia="zh-CN"/>
              </w:rPr>
              <w:t>（</w:t>
            </w:r>
            <w:r>
              <w:rPr>
                <w:rFonts w:hint="eastAsia" w:ascii="仿宋" w:hAnsi="仿宋"/>
                <w:sz w:val="24"/>
                <w:lang w:eastAsia="zh-CN"/>
              </w:rPr>
              <w:t>3）提供个性化健康指导的机构比例≥50%。</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县卫健局</w:t>
            </w:r>
          </w:p>
        </w:tc>
        <w:tc>
          <w:tcPr>
            <w:tcW w:w="1661"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_GB2312" w:cs="仿宋_GB2312"/>
                <w:sz w:val="24"/>
                <w:szCs w:val="24"/>
                <w:lang w:eastAsia="zh-CN"/>
              </w:rPr>
            </w:pPr>
            <w:r>
              <w:rPr>
                <w:rFonts w:hint="eastAsia" w:ascii="仿宋" w:hAnsi="仿宋"/>
                <w:sz w:val="24"/>
                <w:szCs w:val="24"/>
                <w:lang w:eastAsia="zh-CN"/>
              </w:rPr>
              <w:t>各社区卫生服务中心、乡镇（中心）卫生院</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341"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restart"/>
            <w:tcBorders>
              <w:top w:val="single" w:color="auto" w:sz="4" w:space="0"/>
              <w:left w:val="single" w:color="auto" w:sz="4" w:space="0"/>
              <w:right w:val="single" w:color="auto" w:sz="4" w:space="0"/>
            </w:tcBorders>
            <w:shd w:val="clear" w:color="auto" w:fill="auto"/>
            <w:vAlign w:val="center"/>
          </w:tcPr>
          <w:p>
            <w:pPr>
              <w:widowControl/>
              <w:jc w:val="both"/>
              <w:textAlignment w:val="center"/>
              <w:rPr>
                <w:rStyle w:val="18"/>
                <w:rFonts w:hint="default"/>
                <w:color w:val="auto"/>
                <w:sz w:val="24"/>
                <w:szCs w:val="24"/>
                <w:lang w:eastAsia="zh-CN" w:bidi="ar"/>
              </w:rPr>
            </w:pPr>
            <w:r>
              <w:rPr>
                <w:rStyle w:val="18"/>
                <w:color w:val="auto"/>
                <w:sz w:val="24"/>
                <w:szCs w:val="24"/>
                <w:lang w:eastAsia="zh-CN" w:bidi="ar"/>
              </w:rPr>
              <w:t>（三）开展全民健身运动，普及公共体育设施，提高经常参加体育锻炼人口比例。</w:t>
            </w:r>
          </w:p>
          <w:p>
            <w:pPr>
              <w:jc w:val="both"/>
              <w:rPr>
                <w:rFonts w:ascii="仿宋" w:hAnsi="仿宋" w:eastAsia="仿宋_GB2312" w:cs="仿宋_GB2312"/>
                <w:sz w:val="24"/>
                <w:szCs w:val="24"/>
                <w:lang w:eastAsia="zh-CN"/>
              </w:rPr>
            </w:pPr>
          </w:p>
        </w:tc>
        <w:tc>
          <w:tcPr>
            <w:tcW w:w="2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Style w:val="17"/>
                <w:rFonts w:hint="eastAsia" w:ascii="仿宋" w:hAnsi="仿宋" w:cs="仿宋"/>
                <w:color w:val="auto"/>
                <w:lang w:eastAsia="zh-CN" w:bidi="ar"/>
              </w:rPr>
              <w:t>1.</w:t>
            </w:r>
            <w:r>
              <w:rPr>
                <w:rStyle w:val="14"/>
                <w:color w:val="auto"/>
                <w:lang w:eastAsia="zh-CN" w:bidi="ar"/>
              </w:rPr>
              <w:t>社区建设</w:t>
            </w:r>
            <w:r>
              <w:rPr>
                <w:rStyle w:val="17"/>
                <w:rFonts w:hint="eastAsia" w:ascii="仿宋" w:hAnsi="仿宋" w:cs="仿宋"/>
                <w:color w:val="auto"/>
                <w:lang w:eastAsia="zh-CN" w:bidi="ar"/>
              </w:rPr>
              <w:t>15</w:t>
            </w:r>
            <w:r>
              <w:rPr>
                <w:rStyle w:val="14"/>
                <w:color w:val="auto"/>
                <w:lang w:eastAsia="zh-CN" w:bidi="ar"/>
              </w:rPr>
              <w:t>分钟健身圈，居民健身设施完好，提高人均体育场地面积。</w:t>
            </w:r>
          </w:p>
        </w:tc>
        <w:tc>
          <w:tcPr>
            <w:tcW w:w="51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（1）社区15分钟健身圈/农村行政村体育设施覆盖率达到100%，设备完好100%。</w:t>
            </w:r>
          </w:p>
          <w:p>
            <w:pPr>
              <w:widowControl/>
              <w:jc w:val="both"/>
              <w:textAlignment w:val="center"/>
              <w:rPr>
                <w:rStyle w:val="17"/>
                <w:rFonts w:ascii="仿宋" w:hAnsi="仿宋" w:eastAsia="仿宋_GB2312" w:cs="仿宋_GB2312"/>
                <w:color w:val="auto"/>
                <w:lang w:eastAsia="zh-CN" w:bidi="ar"/>
              </w:rPr>
            </w:pPr>
            <w:r>
              <w:rPr>
                <w:rFonts w:hint="eastAsia" w:ascii="仿宋" w:hAnsi="仿宋"/>
                <w:sz w:val="24"/>
                <w:lang w:eastAsia="zh-CN"/>
              </w:rPr>
              <w:t>（2）人均体育场地面积达2平方米。</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bidi="ar"/>
              </w:rPr>
              <w:t>县教体局</w:t>
            </w:r>
          </w:p>
        </w:tc>
        <w:tc>
          <w:tcPr>
            <w:tcW w:w="166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_GB2312" w:cs="仿宋_GB2312"/>
                <w:sz w:val="24"/>
                <w:szCs w:val="24"/>
              </w:rPr>
            </w:pPr>
            <w:r>
              <w:rPr>
                <w:rFonts w:hint="eastAsia" w:ascii="仿宋" w:hAnsi="仿宋"/>
                <w:sz w:val="24"/>
                <w:szCs w:val="24"/>
                <w:lang w:eastAsia="zh-CN"/>
              </w:rPr>
              <w:t>各乡镇人民政府</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1096"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left w:val="single" w:color="auto" w:sz="4" w:space="0"/>
              <w:right w:val="single" w:color="auto" w:sz="4" w:space="0"/>
            </w:tcBorders>
            <w:shd w:val="clear" w:color="auto" w:fill="auto"/>
            <w:vAlign w:val="center"/>
          </w:tcPr>
          <w:p>
            <w:pPr>
              <w:jc w:val="center"/>
              <w:rPr>
                <w:rFonts w:ascii="仿宋" w:hAnsi="仿宋" w:eastAsia="仿宋_GB2312" w:cs="仿宋_GB2312"/>
                <w:sz w:val="24"/>
                <w:szCs w:val="24"/>
              </w:rPr>
            </w:pPr>
          </w:p>
        </w:tc>
        <w:tc>
          <w:tcPr>
            <w:tcW w:w="292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Style w:val="17"/>
                <w:rFonts w:hint="eastAsia" w:ascii="仿宋" w:hAnsi="仿宋" w:cs="仿宋"/>
                <w:color w:val="auto"/>
                <w:lang w:eastAsia="zh-CN" w:bidi="ar"/>
              </w:rPr>
              <w:t>2.</w:t>
            </w:r>
            <w:r>
              <w:rPr>
                <w:rStyle w:val="14"/>
                <w:color w:val="auto"/>
                <w:lang w:eastAsia="zh-CN" w:bidi="ar"/>
              </w:rPr>
              <w:t>公共体育场地、有条件的企事业、学校的体育场地免费或低收费向社区居民开放。</w:t>
            </w:r>
          </w:p>
        </w:tc>
        <w:tc>
          <w:tcPr>
            <w:tcW w:w="514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（1）公共体育场地、设施免费或低收费开放比例100%。</w:t>
            </w:r>
          </w:p>
          <w:p>
            <w:pPr>
              <w:widowControl/>
              <w:jc w:val="both"/>
              <w:textAlignment w:val="center"/>
              <w:rPr>
                <w:rStyle w:val="17"/>
                <w:rFonts w:ascii="仿宋" w:hAnsi="仿宋" w:eastAsia="仿宋_GB2312" w:cs="仿宋_GB2312"/>
                <w:color w:val="auto"/>
                <w:lang w:eastAsia="zh-CN" w:bidi="ar"/>
              </w:rPr>
            </w:pPr>
            <w:r>
              <w:rPr>
                <w:rFonts w:hint="eastAsia" w:ascii="仿宋" w:hAnsi="仿宋"/>
                <w:sz w:val="24"/>
                <w:lang w:eastAsia="zh-CN"/>
              </w:rPr>
              <w:t>（2）有条件的学校免费或低收费开放比例≥70%，有条件的其他企事业免费或低收费开放比例≥30%。</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_GB2312" w:cs="仿宋_GB2312"/>
                <w:sz w:val="24"/>
                <w:szCs w:val="24"/>
              </w:rPr>
            </w:pPr>
            <w:r>
              <w:rPr>
                <w:rFonts w:hint="eastAsia" w:ascii="仿宋" w:hAnsi="仿宋"/>
                <w:sz w:val="24"/>
                <w:szCs w:val="24"/>
                <w:lang w:eastAsia="zh-CN" w:bidi="ar"/>
              </w:rPr>
              <w:t>县教体局</w:t>
            </w:r>
          </w:p>
        </w:tc>
        <w:tc>
          <w:tcPr>
            <w:tcW w:w="166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各县级成员单位、各乡镇人民政府</w:t>
            </w:r>
          </w:p>
        </w:tc>
        <w:tc>
          <w:tcPr>
            <w:tcW w:w="159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509"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rPr>
            </w:pPr>
          </w:p>
        </w:tc>
        <w:tc>
          <w:tcPr>
            <w:tcW w:w="292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Style w:val="17"/>
                <w:rFonts w:hint="eastAsia" w:ascii="仿宋" w:hAnsi="仿宋" w:cs="仿宋"/>
                <w:color w:val="auto"/>
                <w:lang w:eastAsia="zh-CN" w:bidi="ar"/>
              </w:rPr>
              <w:t>3.</w:t>
            </w:r>
            <w:r>
              <w:rPr>
                <w:rFonts w:hint="eastAsia" w:ascii="仿宋" w:hAnsi="仿宋"/>
                <w:sz w:val="24"/>
                <w:lang w:eastAsia="zh-CN"/>
              </w:rPr>
              <w:t>机关、企事业单位开展工间健身活动，组织符合单位特点的健走、健身和竞赛活动。</w:t>
            </w:r>
          </w:p>
        </w:tc>
        <w:tc>
          <w:tcPr>
            <w:tcW w:w="514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uppressAutoHyphens/>
              <w:textAlignment w:val="top"/>
              <w:rPr>
                <w:rFonts w:ascii="仿宋" w:hAnsi="仿宋"/>
                <w:sz w:val="24"/>
                <w:lang w:eastAsia="zh-CN"/>
              </w:rPr>
            </w:pPr>
            <w:r>
              <w:rPr>
                <w:rFonts w:hint="eastAsia" w:ascii="仿宋" w:hAnsi="仿宋"/>
                <w:sz w:val="24"/>
                <w:lang w:eastAsia="zh-CN"/>
              </w:rPr>
              <w:t>（1）开展工间健身活动单位覆盖率≥80%。</w:t>
            </w:r>
          </w:p>
          <w:p>
            <w:pPr>
              <w:widowControl/>
              <w:suppressAutoHyphens/>
              <w:textAlignment w:val="top"/>
              <w:rPr>
                <w:rStyle w:val="14"/>
                <w:rFonts w:hint="default" w:eastAsia="仿宋_GB2312" w:cs="仿宋_GB2312"/>
                <w:color w:val="auto"/>
                <w:lang w:eastAsia="zh-CN" w:bidi="ar"/>
              </w:rPr>
            </w:pPr>
            <w:r>
              <w:rPr>
                <w:rFonts w:hint="eastAsia" w:ascii="仿宋" w:hAnsi="仿宋"/>
                <w:sz w:val="24"/>
                <w:lang w:eastAsia="zh-CN"/>
              </w:rPr>
              <w:t>（2）机关、学校、企事业单位每年至少组织开展1次“健走天府·万步有约”等健走、健身竞赛活动。</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rPr>
            </w:pPr>
            <w:r>
              <w:rPr>
                <w:rFonts w:hint="eastAsia" w:ascii="仿宋" w:hAnsi="仿宋"/>
                <w:sz w:val="24"/>
                <w:szCs w:val="24"/>
                <w:lang w:eastAsia="zh-CN"/>
              </w:rPr>
              <w:t>县总工会</w:t>
            </w:r>
          </w:p>
        </w:tc>
        <w:tc>
          <w:tcPr>
            <w:tcW w:w="166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各县级成员单位、各乡镇人民政府</w:t>
            </w:r>
          </w:p>
        </w:tc>
        <w:tc>
          <w:tcPr>
            <w:tcW w:w="159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90"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Times New Roman"/>
                <w:sz w:val="24"/>
                <w:szCs w:val="24"/>
              </w:rPr>
            </w:pPr>
          </w:p>
        </w:tc>
        <w:tc>
          <w:tcPr>
            <w:tcW w:w="292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Times New Roman"/>
                <w:sz w:val="24"/>
                <w:szCs w:val="24"/>
                <w:lang w:eastAsia="zh-CN"/>
              </w:rPr>
            </w:pPr>
            <w:r>
              <w:rPr>
                <w:rStyle w:val="17"/>
                <w:rFonts w:hint="eastAsia" w:ascii="仿宋" w:hAnsi="仿宋" w:cs="仿宋"/>
                <w:color w:val="auto"/>
                <w:lang w:eastAsia="zh-CN" w:bidi="ar"/>
              </w:rPr>
              <w:t>4.</w:t>
            </w:r>
            <w:r>
              <w:rPr>
                <w:rStyle w:val="14"/>
                <w:color w:val="auto"/>
                <w:lang w:eastAsia="zh-CN" w:bidi="ar"/>
              </w:rPr>
              <w:t>实施青少年体育活动促进计划。</w:t>
            </w:r>
          </w:p>
        </w:tc>
        <w:tc>
          <w:tcPr>
            <w:tcW w:w="514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14"/>
                <w:rFonts w:hint="default"/>
                <w:color w:val="auto"/>
                <w:lang w:eastAsia="zh-CN" w:bidi="ar"/>
              </w:rPr>
            </w:pPr>
            <w:r>
              <w:rPr>
                <w:rStyle w:val="14"/>
                <w:color w:val="auto"/>
                <w:lang w:eastAsia="zh-CN" w:bidi="ar"/>
              </w:rPr>
              <w:t>（1）中小学生每天校内体育活动时间不少于1小时的比例达到</w:t>
            </w:r>
            <w:r>
              <w:rPr>
                <w:rStyle w:val="17"/>
                <w:rFonts w:hint="eastAsia" w:ascii="仿宋" w:hAnsi="仿宋" w:cs="仿宋"/>
                <w:color w:val="auto"/>
                <w:lang w:eastAsia="zh-CN" w:bidi="ar"/>
              </w:rPr>
              <w:t>100%</w:t>
            </w:r>
            <w:r>
              <w:rPr>
                <w:rStyle w:val="14"/>
                <w:color w:val="auto"/>
                <w:lang w:eastAsia="zh-CN" w:bidi="ar"/>
              </w:rPr>
              <w:t>。</w:t>
            </w:r>
          </w:p>
          <w:p>
            <w:pPr>
              <w:widowControl/>
              <w:textAlignment w:val="center"/>
              <w:rPr>
                <w:rStyle w:val="14"/>
                <w:rFonts w:hint="default" w:eastAsia="仿宋_GB2312" w:cs="仿宋_GB2312"/>
                <w:color w:val="auto"/>
                <w:lang w:eastAsia="zh-CN" w:bidi="ar"/>
              </w:rPr>
            </w:pPr>
            <w:r>
              <w:rPr>
                <w:rStyle w:val="14"/>
                <w:color w:val="auto"/>
                <w:lang w:eastAsia="zh-CN" w:bidi="ar"/>
              </w:rPr>
              <w:t>（2）国家学生体质健康标准达标优良率</w:t>
            </w:r>
            <w:r>
              <w:rPr>
                <w:rFonts w:hint="eastAsia" w:ascii="仿宋" w:hAnsi="仿宋"/>
                <w:sz w:val="24"/>
                <w:lang w:eastAsia="zh-CN"/>
              </w:rPr>
              <w:t>≥</w:t>
            </w:r>
            <w:r>
              <w:rPr>
                <w:rStyle w:val="17"/>
                <w:rFonts w:hint="eastAsia" w:ascii="仿宋" w:hAnsi="仿宋" w:cs="仿宋"/>
                <w:color w:val="auto"/>
                <w:lang w:eastAsia="zh-CN" w:bidi="ar"/>
              </w:rPr>
              <w:t>50%。</w:t>
            </w:r>
          </w:p>
        </w:tc>
        <w:tc>
          <w:tcPr>
            <w:tcW w:w="177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bidi="ar"/>
              </w:rPr>
              <w:t>县教体局</w:t>
            </w:r>
          </w:p>
        </w:tc>
        <w:tc>
          <w:tcPr>
            <w:tcW w:w="166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各中小学校</w:t>
            </w:r>
          </w:p>
        </w:tc>
        <w:tc>
          <w:tcPr>
            <w:tcW w:w="159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341"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Times New Roman"/>
                <w:sz w:val="24"/>
                <w:szCs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Style w:val="17"/>
                <w:rFonts w:hint="eastAsia" w:ascii="仿宋" w:hAnsi="仿宋" w:cs="仿宋"/>
                <w:color w:val="auto"/>
                <w:lang w:eastAsia="zh-CN" w:bidi="ar"/>
              </w:rPr>
              <w:t>5.</w:t>
            </w:r>
            <w:r>
              <w:rPr>
                <w:rStyle w:val="14"/>
                <w:color w:val="auto"/>
                <w:lang w:eastAsia="zh-CN" w:bidi="ar"/>
              </w:rPr>
              <w:t>提高经常参加体育锻炼人口比例。</w:t>
            </w:r>
          </w:p>
        </w:tc>
        <w:tc>
          <w:tcPr>
            <w:tcW w:w="5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14"/>
                <w:rFonts w:hint="default" w:eastAsia="仿宋_GB2312" w:cs="仿宋_GB2312"/>
                <w:color w:val="auto"/>
                <w:lang w:eastAsia="zh-CN" w:bidi="ar"/>
              </w:rPr>
            </w:pPr>
            <w:r>
              <w:rPr>
                <w:rFonts w:hint="eastAsia" w:ascii="仿宋" w:hAnsi="仿宋"/>
                <w:sz w:val="24"/>
                <w:lang w:eastAsia="zh-CN"/>
              </w:rPr>
              <w:t>经常参加体育锻炼人口比例≥40%</w:t>
            </w:r>
            <w:r>
              <w:rPr>
                <w:rStyle w:val="14"/>
                <w:color w:val="auto"/>
                <w:lang w:eastAsia="zh-CN" w:bidi="ar"/>
              </w:rPr>
              <w:t>。</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rPr>
            </w:pPr>
            <w:r>
              <w:rPr>
                <w:rFonts w:hint="eastAsia" w:ascii="仿宋" w:hAnsi="仿宋"/>
                <w:sz w:val="24"/>
                <w:szCs w:val="24"/>
                <w:lang w:eastAsia="zh-CN" w:bidi="ar"/>
              </w:rPr>
              <w:t>县教体局</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各县级成员单位、各乡镇人民政府</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341"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Times New Roman"/>
                <w:sz w:val="24"/>
                <w:szCs w:val="24"/>
              </w:rPr>
            </w:pPr>
          </w:p>
        </w:tc>
        <w:tc>
          <w:tcPr>
            <w:tcW w:w="292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Style w:val="17"/>
                <w:rFonts w:ascii="仿宋" w:hAnsi="仿宋" w:eastAsia="仿宋_GB2312" w:cs="仿宋_GB2312"/>
                <w:color w:val="auto"/>
                <w:lang w:eastAsia="zh-CN" w:bidi="ar"/>
              </w:rPr>
            </w:pPr>
            <w:r>
              <w:rPr>
                <w:rFonts w:hint="eastAsia" w:ascii="仿宋" w:hAnsi="仿宋"/>
                <w:sz w:val="24"/>
                <w:lang w:eastAsia="zh-CN"/>
              </w:rPr>
              <w:t>6.倡导科学运动，促进体卫融合。</w:t>
            </w:r>
          </w:p>
        </w:tc>
        <w:tc>
          <w:tcPr>
            <w:tcW w:w="514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（1）开展运动处方师培训，为居民提供个性化运动处方。</w:t>
            </w:r>
          </w:p>
          <w:p>
            <w:pPr>
              <w:widowControl/>
              <w:jc w:val="both"/>
              <w:textAlignment w:val="center"/>
              <w:rPr>
                <w:rFonts w:ascii="仿宋" w:hAnsi="仿宋" w:eastAsia="仿宋_GB2312" w:cs="仿宋_GB2312"/>
                <w:sz w:val="24"/>
                <w:lang w:eastAsia="zh-CN"/>
              </w:rPr>
            </w:pPr>
            <w:r>
              <w:rPr>
                <w:rFonts w:hint="eastAsia" w:ascii="仿宋" w:hAnsi="仿宋"/>
                <w:sz w:val="24"/>
                <w:lang w:eastAsia="zh-CN"/>
              </w:rPr>
              <w:t>（2）开展国民体质监测，并开展将其与医疗体检相结合试点工作。</w:t>
            </w:r>
          </w:p>
        </w:tc>
        <w:tc>
          <w:tcPr>
            <w:tcW w:w="17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lang w:eastAsia="zh-CN" w:bidi="ar"/>
              </w:rPr>
            </w:pPr>
            <w:r>
              <w:rPr>
                <w:rFonts w:hint="eastAsia" w:ascii="仿宋" w:hAnsi="仿宋"/>
                <w:sz w:val="24"/>
                <w:szCs w:val="24"/>
                <w:lang w:eastAsia="zh-CN" w:bidi="ar"/>
              </w:rPr>
              <w:t>县教体局</w:t>
            </w:r>
          </w:p>
        </w:tc>
        <w:tc>
          <w:tcPr>
            <w:tcW w:w="166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县卫健局</w:t>
            </w:r>
          </w:p>
        </w:tc>
        <w:tc>
          <w:tcPr>
            <w:tcW w:w="159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509"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Style w:val="17"/>
                <w:rFonts w:ascii="仿宋" w:hAnsi="仿宋" w:cs="仿宋"/>
                <w:color w:val="auto"/>
                <w:lang w:eastAsia="zh-CN" w:bidi="ar"/>
              </w:rPr>
            </w:pPr>
            <w:r>
              <w:rPr>
                <w:rStyle w:val="17"/>
                <w:rFonts w:ascii="仿宋" w:hAnsi="仿宋" w:cs="仿宋"/>
                <w:color w:val="auto"/>
                <w:lang w:eastAsia="zh-CN" w:bidi="ar"/>
              </w:rPr>
              <w:t>（四）开展烟草控制，降低人群吸烟率。</w:t>
            </w:r>
          </w:p>
        </w:tc>
        <w:tc>
          <w:tcPr>
            <w:tcW w:w="292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Style w:val="17"/>
                <w:rFonts w:ascii="仿宋" w:hAnsi="仿宋" w:cs="仿宋"/>
                <w:color w:val="auto"/>
                <w:lang w:eastAsia="zh-CN" w:bidi="ar"/>
              </w:rPr>
            </w:pPr>
            <w:r>
              <w:rPr>
                <w:rStyle w:val="17"/>
                <w:rFonts w:hint="eastAsia" w:ascii="仿宋" w:hAnsi="仿宋" w:cs="仿宋"/>
                <w:color w:val="auto"/>
                <w:lang w:eastAsia="zh-CN" w:bidi="ar"/>
              </w:rPr>
              <w:t>1.辖区室内公共场所、工作场所和公共交通工具设置禁止吸烟警语和标识。</w:t>
            </w:r>
          </w:p>
        </w:tc>
        <w:tc>
          <w:tcPr>
            <w:tcW w:w="514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_GB2312" w:cs="仿宋_GB2312"/>
                <w:sz w:val="24"/>
                <w:szCs w:val="24"/>
                <w:lang w:eastAsia="zh-CN"/>
              </w:rPr>
            </w:pPr>
            <w:r>
              <w:rPr>
                <w:rFonts w:hint="eastAsia" w:ascii="仿宋" w:hAnsi="仿宋"/>
                <w:sz w:val="24"/>
                <w:lang w:eastAsia="zh-CN"/>
              </w:rPr>
              <w:t>辖区100%的室内公共场所、工作场所和公共交通工具全面禁烟，设置禁止吸烟警语和标识</w:t>
            </w:r>
            <w:r>
              <w:rPr>
                <w:rStyle w:val="14"/>
                <w:color w:val="auto"/>
                <w:lang w:eastAsia="zh-CN" w:bidi="ar"/>
              </w:rPr>
              <w:t>。</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各县级成员单位、各乡镇人民政府</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县爱卫办</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1246"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Style w:val="17"/>
                <w:rFonts w:ascii="仿宋" w:hAnsi="仿宋" w:cs="仿宋"/>
                <w:color w:val="auto"/>
                <w:lang w:eastAsia="zh-CN" w:bidi="ar"/>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Style w:val="17"/>
                <w:rFonts w:ascii="仿宋" w:hAnsi="仿宋" w:cs="仿宋"/>
                <w:color w:val="auto"/>
                <w:lang w:eastAsia="zh-CN" w:bidi="ar"/>
              </w:rPr>
            </w:pPr>
            <w:r>
              <w:rPr>
                <w:rStyle w:val="17"/>
                <w:rFonts w:hint="eastAsia" w:ascii="仿宋" w:hAnsi="仿宋" w:cs="仿宋"/>
                <w:color w:val="auto"/>
                <w:lang w:eastAsia="zh-CN" w:bidi="ar"/>
              </w:rPr>
              <w:t>2.禁止烟草广告。</w:t>
            </w:r>
          </w:p>
        </w:tc>
        <w:tc>
          <w:tcPr>
            <w:tcW w:w="5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_GB2312" w:cs="仿宋_GB2312"/>
                <w:sz w:val="24"/>
                <w:szCs w:val="24"/>
                <w:lang w:eastAsia="zh-CN"/>
              </w:rPr>
            </w:pPr>
            <w:r>
              <w:rPr>
                <w:rFonts w:hint="eastAsia" w:ascii="仿宋" w:hAnsi="仿宋"/>
                <w:sz w:val="24"/>
              </w:rPr>
              <w:t>辖区</w:t>
            </w:r>
            <w:r>
              <w:rPr>
                <w:rFonts w:hint="eastAsia" w:ascii="仿宋" w:hAnsi="仿宋"/>
                <w:sz w:val="24"/>
                <w:lang w:eastAsia="zh-CN"/>
              </w:rPr>
              <w:t>无</w:t>
            </w:r>
            <w:r>
              <w:rPr>
                <w:rFonts w:hint="eastAsia" w:ascii="仿宋" w:hAnsi="仿宋"/>
                <w:sz w:val="24"/>
              </w:rPr>
              <w:t>烟草广告</w:t>
            </w:r>
            <w:r>
              <w:rPr>
                <w:rFonts w:hint="eastAsia" w:ascii="仿宋" w:hAnsi="仿宋"/>
                <w:sz w:val="24"/>
                <w:lang w:eastAsia="zh-CN"/>
              </w:rPr>
              <w:t>。</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县商务局、各县级成员单位、各乡镇人民政府</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县爱卫办</w:t>
            </w:r>
          </w:p>
        </w:tc>
        <w:tc>
          <w:tcPr>
            <w:tcW w:w="159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341"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Times New Roman"/>
                <w:sz w:val="24"/>
                <w:szCs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Style w:val="17"/>
                <w:rFonts w:hint="eastAsia" w:ascii="仿宋" w:hAnsi="仿宋" w:cs="仿宋"/>
                <w:color w:val="auto"/>
                <w:lang w:eastAsia="zh-CN" w:bidi="ar"/>
              </w:rPr>
              <w:t>3.</w:t>
            </w:r>
            <w:r>
              <w:rPr>
                <w:rFonts w:hint="eastAsia" w:ascii="仿宋" w:hAnsi="仿宋"/>
                <w:sz w:val="24"/>
                <w:lang w:eastAsia="zh-CN"/>
              </w:rPr>
              <w:t>建设无烟党政机关、无烟医疗卫生机构、无烟学校。</w:t>
            </w:r>
          </w:p>
        </w:tc>
        <w:tc>
          <w:tcPr>
            <w:tcW w:w="5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14"/>
                <w:rFonts w:hint="default" w:eastAsia="仿宋_GB2312" w:cs="仿宋_GB2312"/>
                <w:color w:val="auto"/>
                <w:lang w:eastAsia="zh-CN" w:bidi="ar"/>
              </w:rPr>
            </w:pPr>
            <w:r>
              <w:rPr>
                <w:rFonts w:hint="eastAsia" w:ascii="仿宋" w:hAnsi="仿宋"/>
                <w:sz w:val="24"/>
                <w:lang w:eastAsia="zh-CN"/>
              </w:rPr>
              <w:t>覆盖率均达100%。</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仿宋" w:hAnsi="仿宋" w:eastAsia="仿宋_GB2312" w:cs="仿宋_GB2312"/>
                <w:sz w:val="24"/>
                <w:szCs w:val="24"/>
                <w:lang w:eastAsia="zh-CN"/>
              </w:rPr>
            </w:pPr>
            <w:r>
              <w:rPr>
                <w:rFonts w:hint="eastAsia" w:ascii="仿宋" w:hAnsi="仿宋"/>
                <w:sz w:val="24"/>
                <w:szCs w:val="24"/>
                <w:lang w:eastAsia="zh-CN"/>
              </w:rPr>
              <w:t>无烟党政机关由县机关事务服务中心牵头；无烟医疗机构由县卫健局牵头；无烟学校由县教体局牵头</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县爱卫办</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677"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Times New Roman"/>
                <w:sz w:val="24"/>
                <w:szCs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Style w:val="14"/>
                <w:color w:val="auto"/>
                <w:lang w:eastAsia="zh-CN" w:bidi="ar"/>
              </w:rPr>
              <w:t>4.</w:t>
            </w:r>
            <w:r>
              <w:rPr>
                <w:rFonts w:hint="eastAsia" w:ascii="仿宋" w:hAnsi="仿宋"/>
                <w:sz w:val="24"/>
                <w:lang w:eastAsia="zh-CN"/>
              </w:rPr>
              <w:t>辖区各级医疗机构开展简短戒烟服务培训并提供简短戒烟服务。</w:t>
            </w:r>
          </w:p>
        </w:tc>
        <w:tc>
          <w:tcPr>
            <w:tcW w:w="5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sz w:val="24"/>
                <w:lang w:eastAsia="zh-CN"/>
              </w:rPr>
            </w:pPr>
            <w:r>
              <w:rPr>
                <w:rFonts w:hint="eastAsia" w:ascii="仿宋" w:hAnsi="仿宋"/>
                <w:sz w:val="24"/>
                <w:lang w:eastAsia="zh-CN"/>
              </w:rPr>
              <w:t>（1）开展简短戒烟服务培训的医疗机构覆盖率≥80%。</w:t>
            </w:r>
          </w:p>
          <w:p>
            <w:pPr>
              <w:widowControl/>
              <w:textAlignment w:val="center"/>
              <w:rPr>
                <w:rFonts w:ascii="仿宋" w:hAnsi="仿宋"/>
                <w:sz w:val="24"/>
                <w:lang w:eastAsia="zh-CN"/>
              </w:rPr>
            </w:pPr>
            <w:r>
              <w:rPr>
                <w:rFonts w:hint="eastAsia" w:ascii="仿宋" w:hAnsi="仿宋"/>
                <w:sz w:val="24"/>
                <w:lang w:eastAsia="zh-CN"/>
              </w:rPr>
              <w:t>（2）提供简短戒烟服务的医疗机构覆盖率100%。</w:t>
            </w:r>
          </w:p>
          <w:p>
            <w:pPr>
              <w:widowControl/>
              <w:textAlignment w:val="center"/>
              <w:rPr>
                <w:rFonts w:ascii="仿宋" w:hAnsi="仿宋" w:eastAsia="仿宋_GB2312" w:cs="仿宋_GB2312"/>
                <w:sz w:val="24"/>
                <w:szCs w:val="24"/>
                <w:lang w:eastAsia="zh-CN"/>
              </w:rPr>
            </w:pPr>
            <w:r>
              <w:rPr>
                <w:rFonts w:hint="eastAsia" w:ascii="仿宋" w:hAnsi="仿宋"/>
                <w:sz w:val="24"/>
                <w:lang w:eastAsia="zh-CN"/>
              </w:rPr>
              <w:t>医疗机构包括辖区内的一、二、三级综合性医院和妇幼保健院。</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rPr>
            </w:pPr>
            <w:r>
              <w:rPr>
                <w:rFonts w:hint="eastAsia" w:ascii="仿宋" w:hAnsi="仿宋"/>
                <w:sz w:val="24"/>
                <w:szCs w:val="24"/>
                <w:lang w:eastAsia="zh-CN"/>
              </w:rPr>
              <w:t>各级医疗卫生机构</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677"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Times New Roman"/>
                <w:sz w:val="24"/>
                <w:szCs w:val="24"/>
              </w:rPr>
            </w:pPr>
          </w:p>
        </w:tc>
        <w:tc>
          <w:tcPr>
            <w:tcW w:w="292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Style w:val="14"/>
                <w:rFonts w:hint="default" w:eastAsia="仿宋_GB2312" w:cs="仿宋_GB2312"/>
                <w:color w:val="auto"/>
                <w:lang w:eastAsia="zh-CN" w:bidi="ar"/>
              </w:rPr>
            </w:pPr>
            <w:r>
              <w:rPr>
                <w:rStyle w:val="17"/>
                <w:rFonts w:hint="eastAsia" w:ascii="仿宋" w:hAnsi="仿宋" w:cs="仿宋"/>
                <w:color w:val="auto"/>
                <w:lang w:eastAsia="zh-CN" w:bidi="ar"/>
              </w:rPr>
              <w:t>5.</w:t>
            </w:r>
            <w:r>
              <w:rPr>
                <w:rFonts w:hint="eastAsia" w:ascii="仿宋" w:hAnsi="仿宋"/>
                <w:sz w:val="24"/>
                <w:lang w:eastAsia="zh-CN"/>
              </w:rPr>
              <w:t>降低辖区15岁及以上人群吸烟率。</w:t>
            </w:r>
          </w:p>
        </w:tc>
        <w:tc>
          <w:tcPr>
            <w:tcW w:w="514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Style w:val="14"/>
                <w:rFonts w:hint="default" w:eastAsia="仿宋_GB2312" w:cs="仿宋_GB2312"/>
                <w:color w:val="auto"/>
                <w:lang w:eastAsia="zh-CN" w:bidi="ar"/>
              </w:rPr>
            </w:pPr>
            <w:r>
              <w:rPr>
                <w:rFonts w:hint="eastAsia" w:ascii="仿宋" w:hAnsi="仿宋"/>
                <w:sz w:val="24"/>
                <w:lang w:eastAsia="zh-CN"/>
              </w:rPr>
              <w:t>15岁及以上人群吸烟率低于20%。</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各县级成员单位、各乡镇人民政府</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县爱卫办</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90"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tcBorders>
              <w:top w:val="single" w:color="auto" w:sz="4" w:space="0"/>
              <w:left w:val="single" w:color="000000" w:sz="4" w:space="0"/>
              <w:bottom w:val="nil"/>
              <w:right w:val="single" w:color="000000" w:sz="4" w:space="0"/>
            </w:tcBorders>
            <w:shd w:val="clear" w:color="auto" w:fill="auto"/>
            <w:vAlign w:val="center"/>
          </w:tcPr>
          <w:p>
            <w:pPr>
              <w:jc w:val="both"/>
              <w:rPr>
                <w:rFonts w:ascii="仿宋" w:hAnsi="仿宋" w:eastAsia="仿宋_GB2312" w:cs="Times New Roman"/>
                <w:sz w:val="24"/>
                <w:szCs w:val="24"/>
                <w:lang w:eastAsia="zh-CN"/>
              </w:rPr>
            </w:pPr>
            <w:r>
              <w:rPr>
                <w:rFonts w:hint="eastAsia" w:ascii="仿宋" w:hAnsi="仿宋"/>
                <w:sz w:val="24"/>
                <w:szCs w:val="24"/>
                <w:lang w:eastAsia="zh-CN"/>
              </w:rPr>
              <w:t>（五）加强社会健康综合治理。</w:t>
            </w:r>
          </w:p>
        </w:tc>
        <w:tc>
          <w:tcPr>
            <w:tcW w:w="2925" w:type="dxa"/>
            <w:tcBorders>
              <w:top w:val="single" w:color="000000" w:sz="4" w:space="0"/>
              <w:left w:val="single" w:color="000000" w:sz="4" w:space="0"/>
              <w:bottom w:val="nil"/>
              <w:right w:val="single" w:color="000000"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1.完善城市健康公约、社区居民公约、村规民约，开展周末大扫除、卫生清洁日活动，推动爱国卫生运动融入群众日常生活。</w:t>
            </w:r>
          </w:p>
          <w:p>
            <w:pPr>
              <w:widowControl/>
              <w:jc w:val="both"/>
              <w:textAlignment w:val="center"/>
              <w:rPr>
                <w:rFonts w:ascii="仿宋" w:hAnsi="仿宋"/>
                <w:sz w:val="24"/>
                <w:lang w:eastAsia="zh-CN"/>
              </w:rPr>
            </w:pPr>
            <w:r>
              <w:rPr>
                <w:rFonts w:hint="eastAsia" w:ascii="仿宋" w:hAnsi="仿宋"/>
                <w:sz w:val="24"/>
                <w:lang w:eastAsia="zh-CN"/>
              </w:rPr>
              <w:t>2.在基层综治中心或城乡社区综合服务设施设置心理咨询室或社会工作室，并提供相关咨询服务。</w:t>
            </w:r>
          </w:p>
          <w:p>
            <w:pPr>
              <w:widowControl/>
              <w:jc w:val="both"/>
              <w:textAlignment w:val="center"/>
              <w:rPr>
                <w:rFonts w:ascii="仿宋" w:hAnsi="仿宋" w:eastAsia="仿宋_GB2312" w:cs="仿宋_GB2312"/>
                <w:sz w:val="24"/>
                <w:szCs w:val="24"/>
                <w:lang w:eastAsia="zh-CN"/>
              </w:rPr>
            </w:pPr>
            <w:r>
              <w:rPr>
                <w:rFonts w:hint="eastAsia" w:ascii="仿宋" w:hAnsi="仿宋"/>
                <w:sz w:val="24"/>
                <w:lang w:eastAsia="zh-CN"/>
              </w:rPr>
              <w:t>3.组建居民健康管理互助小组，鼓励、引导社区居民参与健康管理。</w:t>
            </w:r>
          </w:p>
        </w:tc>
        <w:tc>
          <w:tcPr>
            <w:tcW w:w="5142" w:type="dxa"/>
            <w:tcBorders>
              <w:top w:val="single" w:color="000000" w:sz="4" w:space="0"/>
              <w:left w:val="single" w:color="000000" w:sz="4" w:space="0"/>
              <w:bottom w:val="nil"/>
              <w:right w:val="single" w:color="000000"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（1）辖区制定有城市健康公约、社区居民公约、村规民约。</w:t>
            </w:r>
          </w:p>
          <w:p>
            <w:pPr>
              <w:widowControl/>
              <w:jc w:val="both"/>
              <w:textAlignment w:val="center"/>
              <w:rPr>
                <w:rFonts w:ascii="仿宋" w:hAnsi="仿宋"/>
                <w:sz w:val="24"/>
                <w:lang w:eastAsia="zh-CN"/>
              </w:rPr>
            </w:pPr>
            <w:r>
              <w:rPr>
                <w:rFonts w:hint="eastAsia" w:ascii="仿宋" w:hAnsi="仿宋"/>
                <w:sz w:val="24"/>
                <w:lang w:eastAsia="zh-CN"/>
              </w:rPr>
              <w:t>（2）开展周末大扫除、卫生清洁日活动，推动爱国卫生运动融入群众日常生活。</w:t>
            </w:r>
          </w:p>
          <w:p>
            <w:pPr>
              <w:widowControl/>
              <w:jc w:val="both"/>
              <w:textAlignment w:val="center"/>
              <w:rPr>
                <w:rFonts w:ascii="仿宋" w:hAnsi="仿宋"/>
                <w:sz w:val="24"/>
                <w:lang w:eastAsia="zh-CN"/>
              </w:rPr>
            </w:pPr>
            <w:r>
              <w:rPr>
                <w:rFonts w:hint="eastAsia" w:ascii="仿宋" w:hAnsi="仿宋"/>
                <w:sz w:val="24"/>
                <w:lang w:eastAsia="zh-CN"/>
              </w:rPr>
              <w:t>（3）在基层综治中心或城乡社区综合服务设施中设置心理咨询室或社会工作室。</w:t>
            </w:r>
          </w:p>
          <w:p>
            <w:pPr>
              <w:widowControl/>
              <w:jc w:val="both"/>
              <w:textAlignment w:val="center"/>
              <w:rPr>
                <w:rFonts w:ascii="仿宋" w:hAnsi="仿宋" w:eastAsia="仿宋_GB2312" w:cs="仿宋_GB2312"/>
                <w:sz w:val="24"/>
                <w:szCs w:val="24"/>
                <w:lang w:eastAsia="zh-CN"/>
              </w:rPr>
            </w:pPr>
            <w:r>
              <w:rPr>
                <w:rFonts w:hint="eastAsia" w:ascii="仿宋" w:hAnsi="仿宋"/>
                <w:sz w:val="24"/>
                <w:lang w:eastAsia="zh-CN"/>
              </w:rPr>
              <w:t>（4）以基层医疗卫生人员为主，社会工作者、物业服务人员、志愿者为辅，组建居民健康管理互助小组，鼓励、引导社区居民参与健康管理。</w:t>
            </w:r>
          </w:p>
        </w:tc>
        <w:tc>
          <w:tcPr>
            <w:tcW w:w="1775" w:type="dxa"/>
            <w:tcBorders>
              <w:top w:val="single" w:color="auto"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各县级部门单位、各乡镇人民政府</w:t>
            </w:r>
          </w:p>
        </w:tc>
        <w:tc>
          <w:tcPr>
            <w:tcW w:w="1661"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县爱卫办、县执法局、县卫健局、县民政局、县住建局、团县委</w:t>
            </w:r>
          </w:p>
        </w:tc>
        <w:tc>
          <w:tcPr>
            <w:tcW w:w="159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90" w:hRule="atLeast"/>
        </w:trPr>
        <w:tc>
          <w:tcPr>
            <w:tcW w:w="735"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both"/>
              <w:textAlignment w:val="top"/>
              <w:rPr>
                <w:rFonts w:ascii="仿宋" w:hAnsi="仿宋"/>
                <w:sz w:val="24"/>
                <w:szCs w:val="24"/>
                <w:lang w:eastAsia="zh-CN"/>
              </w:rPr>
            </w:pPr>
            <w:r>
              <w:rPr>
                <w:rFonts w:hint="eastAsia" w:ascii="仿宋" w:hAnsi="仿宋"/>
                <w:sz w:val="24"/>
                <w:szCs w:val="24"/>
                <w:lang w:eastAsia="zh-CN"/>
              </w:rPr>
              <w:t>三、</w:t>
            </w:r>
            <w:r>
              <w:rPr>
                <w:rFonts w:hint="eastAsia" w:ascii="仿宋" w:hAnsi="仿宋"/>
                <w:sz w:val="24"/>
                <w:lang w:eastAsia="zh-CN"/>
              </w:rPr>
              <w:t>“三减三健”专项行动</w:t>
            </w:r>
          </w:p>
          <w:p>
            <w:pPr>
              <w:jc w:val="both"/>
              <w:rPr>
                <w:rFonts w:ascii="仿宋" w:hAnsi="仿宋" w:eastAsia="仿宋_GB2312" w:cs="Times New Roman"/>
                <w:sz w:val="24"/>
                <w:szCs w:val="24"/>
                <w:lang w:eastAsia="zh-CN"/>
              </w:rPr>
            </w:pPr>
          </w:p>
        </w:tc>
        <w:tc>
          <w:tcPr>
            <w:tcW w:w="163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ascii="仿宋" w:hAnsi="仿宋" w:eastAsia="仿宋_GB2312" w:cs="Times New Roman"/>
                <w:kern w:val="2"/>
                <w:sz w:val="24"/>
                <w:szCs w:val="24"/>
                <w:lang w:eastAsia="zh-CN"/>
              </w:rPr>
            </w:pPr>
            <w:r>
              <w:rPr>
                <w:rFonts w:hint="eastAsia" w:ascii="仿宋" w:hAnsi="仿宋"/>
                <w:sz w:val="24"/>
                <w:szCs w:val="24"/>
                <w:lang w:eastAsia="zh-CN"/>
              </w:rPr>
              <w:t>（一）开展专题宣传。</w:t>
            </w:r>
          </w:p>
        </w:tc>
        <w:tc>
          <w:tcPr>
            <w:tcW w:w="292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eastAsia="仿宋_GB2312" w:cs="仿宋_GB2312"/>
                <w:kern w:val="2"/>
                <w:sz w:val="24"/>
                <w:szCs w:val="24"/>
                <w:lang w:eastAsia="zh-CN"/>
              </w:rPr>
            </w:pPr>
            <w:r>
              <w:rPr>
                <w:rFonts w:hint="eastAsia" w:ascii="仿宋" w:hAnsi="仿宋"/>
                <w:sz w:val="24"/>
                <w:szCs w:val="24"/>
                <w:lang w:eastAsia="zh-CN"/>
              </w:rPr>
              <w:t>1.</w:t>
            </w:r>
            <w:r>
              <w:rPr>
                <w:rFonts w:hint="eastAsia" w:ascii="仿宋" w:hAnsi="仿宋"/>
                <w:sz w:val="24"/>
                <w:lang w:eastAsia="zh-CN"/>
              </w:rPr>
              <w:t>开展健康生活方式主题日（周）主题宣传。</w:t>
            </w:r>
          </w:p>
        </w:tc>
        <w:tc>
          <w:tcPr>
            <w:tcW w:w="514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（1）开展健康生活方式日（周）系列宣传。</w:t>
            </w:r>
          </w:p>
          <w:p>
            <w:pPr>
              <w:widowControl/>
              <w:jc w:val="both"/>
              <w:textAlignment w:val="center"/>
              <w:rPr>
                <w:rFonts w:ascii="仿宋" w:hAnsi="仿宋" w:eastAsia="仿宋_GB2312" w:cs="仿宋_GB2312"/>
                <w:kern w:val="2"/>
                <w:sz w:val="24"/>
                <w:szCs w:val="24"/>
                <w:lang w:eastAsia="zh-CN"/>
              </w:rPr>
            </w:pPr>
            <w:r>
              <w:rPr>
                <w:rFonts w:hint="eastAsia" w:ascii="仿宋" w:hAnsi="仿宋"/>
                <w:sz w:val="24"/>
                <w:lang w:eastAsia="zh-CN"/>
              </w:rPr>
              <w:t>（2）开展全民营养周、中国减盐周、全国爱牙日、世界骨质疏松日等“三减三健”相关内容的专项宣传。</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kern w:val="2"/>
                <w:sz w:val="24"/>
                <w:szCs w:val="24"/>
                <w:lang w:eastAsia="zh-CN"/>
              </w:rPr>
            </w:pPr>
            <w:r>
              <w:rPr>
                <w:rFonts w:hint="eastAsia" w:ascii="仿宋" w:hAnsi="仿宋"/>
                <w:kern w:val="2"/>
                <w:sz w:val="24"/>
                <w:szCs w:val="24"/>
                <w:lang w:eastAsia="zh-CN"/>
              </w:rPr>
              <w:t>县卫健局</w:t>
            </w:r>
          </w:p>
        </w:tc>
        <w:tc>
          <w:tcPr>
            <w:tcW w:w="166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_GB2312" w:cs="仿宋_GB2312"/>
                <w:kern w:val="2"/>
                <w:sz w:val="24"/>
                <w:szCs w:val="24"/>
                <w:lang w:eastAsia="zh-CN"/>
              </w:rPr>
            </w:pPr>
            <w:r>
              <w:rPr>
                <w:rFonts w:hint="eastAsia" w:ascii="仿宋" w:hAnsi="仿宋"/>
                <w:sz w:val="24"/>
                <w:szCs w:val="24"/>
                <w:lang w:eastAsia="zh-CN"/>
              </w:rPr>
              <w:t>县疾控中心、各级医疗卫生机构</w:t>
            </w:r>
          </w:p>
        </w:tc>
        <w:tc>
          <w:tcPr>
            <w:tcW w:w="159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kern w:val="2"/>
                <w:sz w:val="24"/>
                <w:szCs w:val="24"/>
                <w:lang w:eastAsia="zh-CN"/>
              </w:rPr>
            </w:pPr>
            <w:r>
              <w:rPr>
                <w:rFonts w:hint="eastAsia" w:ascii="仿宋" w:hAnsi="仿宋"/>
                <w:sz w:val="24"/>
                <w:szCs w:val="24"/>
                <w:lang w:eastAsia="zh-CN"/>
              </w:rPr>
              <w:t>2024年9月</w:t>
            </w:r>
          </w:p>
        </w:tc>
      </w:tr>
      <w:tr>
        <w:tblPrEx>
          <w:tblCellMar>
            <w:top w:w="0" w:type="dxa"/>
            <w:left w:w="108" w:type="dxa"/>
            <w:bottom w:w="0" w:type="dxa"/>
            <w:right w:w="108" w:type="dxa"/>
          </w:tblCellMar>
        </w:tblPrEx>
        <w:trPr>
          <w:trHeight w:val="1012"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292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Style w:val="17"/>
                <w:rFonts w:ascii="仿宋" w:hAnsi="仿宋" w:eastAsia="仿宋_GB2312" w:cs="仿宋_GB2312"/>
                <w:color w:val="auto"/>
                <w:lang w:eastAsia="zh-CN" w:bidi="ar"/>
              </w:rPr>
            </w:pPr>
            <w:r>
              <w:rPr>
                <w:rFonts w:hint="eastAsia" w:ascii="仿宋" w:hAnsi="仿宋"/>
                <w:sz w:val="24"/>
                <w:lang w:eastAsia="zh-CN"/>
              </w:rPr>
              <w:t>2.利用传统媒体和新媒体开展健康生活方式的日常宣传。</w:t>
            </w:r>
          </w:p>
        </w:tc>
        <w:tc>
          <w:tcPr>
            <w:tcW w:w="514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（1）充分利用传统媒体和新媒体等宣传方式。</w:t>
            </w:r>
          </w:p>
          <w:p>
            <w:pPr>
              <w:widowControl/>
              <w:jc w:val="both"/>
              <w:textAlignment w:val="center"/>
              <w:rPr>
                <w:rFonts w:ascii="仿宋" w:hAnsi="仿宋"/>
                <w:sz w:val="24"/>
                <w:lang w:eastAsia="zh-CN"/>
              </w:rPr>
            </w:pPr>
            <w:r>
              <w:rPr>
                <w:rFonts w:hint="eastAsia" w:ascii="仿宋" w:hAnsi="仿宋"/>
                <w:sz w:val="24"/>
                <w:lang w:eastAsia="zh-CN"/>
              </w:rPr>
              <w:t>（2）宣传内容覆盖“三减三健”各个方面。</w:t>
            </w:r>
          </w:p>
          <w:p>
            <w:pPr>
              <w:widowControl/>
              <w:jc w:val="both"/>
              <w:textAlignment w:val="center"/>
              <w:rPr>
                <w:rStyle w:val="17"/>
                <w:rFonts w:ascii="仿宋" w:hAnsi="仿宋" w:eastAsia="仿宋_GB2312" w:cs="仿宋_GB2312"/>
                <w:color w:val="auto"/>
                <w:lang w:eastAsia="zh-CN" w:bidi="ar"/>
              </w:rPr>
            </w:pPr>
            <w:r>
              <w:rPr>
                <w:rFonts w:hint="eastAsia" w:ascii="仿宋" w:hAnsi="仿宋"/>
                <w:sz w:val="24"/>
                <w:lang w:eastAsia="zh-CN"/>
              </w:rPr>
              <w:t>（3）全年至少开展6次宣传。</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县委宣传部、县融媒体中心</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_GB2312" w:cs="仿宋_GB2312"/>
                <w:sz w:val="24"/>
                <w:szCs w:val="24"/>
                <w:lang w:eastAsia="zh-CN"/>
              </w:rPr>
            </w:pPr>
            <w:r>
              <w:rPr>
                <w:rFonts w:hint="eastAsia" w:ascii="仿宋" w:hAnsi="仿宋"/>
                <w:kern w:val="2"/>
                <w:sz w:val="24"/>
                <w:szCs w:val="24"/>
                <w:lang w:eastAsia="zh-CN"/>
              </w:rPr>
              <w:t>县卫健局</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sz w:val="24"/>
                <w:szCs w:val="24"/>
                <w:lang w:eastAsia="zh-CN"/>
              </w:rPr>
            </w:pPr>
            <w:r>
              <w:rPr>
                <w:rFonts w:hint="eastAsia" w:ascii="仿宋" w:hAnsi="仿宋"/>
                <w:sz w:val="24"/>
                <w:szCs w:val="24"/>
                <w:lang w:eastAsia="zh-CN"/>
              </w:rPr>
              <w:t>2024年9月</w:t>
            </w:r>
          </w:p>
        </w:tc>
      </w:tr>
      <w:tr>
        <w:tblPrEx>
          <w:tblCellMar>
            <w:top w:w="0" w:type="dxa"/>
            <w:left w:w="108" w:type="dxa"/>
            <w:bottom w:w="0" w:type="dxa"/>
            <w:right w:w="108" w:type="dxa"/>
          </w:tblCellMar>
        </w:tblPrEx>
        <w:trPr>
          <w:trHeight w:val="3292"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both"/>
              <w:textAlignment w:val="top"/>
              <w:rPr>
                <w:rFonts w:ascii="仿宋" w:hAnsi="仿宋"/>
                <w:sz w:val="24"/>
                <w:szCs w:val="24"/>
              </w:rPr>
            </w:pPr>
            <w:r>
              <w:rPr>
                <w:rFonts w:hint="eastAsia" w:ascii="仿宋" w:hAnsi="仿宋"/>
                <w:sz w:val="24"/>
                <w:szCs w:val="24"/>
              </w:rPr>
              <w:t>（二）开展专项活动。</w:t>
            </w:r>
          </w:p>
          <w:p>
            <w:pPr>
              <w:jc w:val="center"/>
              <w:rPr>
                <w:rFonts w:ascii="仿宋" w:hAnsi="仿宋" w:eastAsia="仿宋_GB2312" w:cs="仿宋_GB2312"/>
                <w:sz w:val="24"/>
                <w:szCs w:val="24"/>
              </w:rPr>
            </w:pPr>
          </w:p>
        </w:tc>
        <w:tc>
          <w:tcPr>
            <w:tcW w:w="292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Style w:val="17"/>
                <w:rFonts w:ascii="仿宋" w:hAnsi="仿宋" w:eastAsia="仿宋_GB2312" w:cs="仿宋_GB2312"/>
                <w:color w:val="auto"/>
                <w:lang w:eastAsia="zh-CN" w:bidi="ar"/>
              </w:rPr>
            </w:pPr>
            <w:r>
              <w:rPr>
                <w:rFonts w:hint="eastAsia" w:ascii="仿宋" w:hAnsi="仿宋"/>
                <w:sz w:val="24"/>
                <w:szCs w:val="24"/>
                <w:lang w:eastAsia="zh-CN"/>
              </w:rPr>
              <w:t>1.</w:t>
            </w:r>
            <w:r>
              <w:rPr>
                <w:rFonts w:hint="eastAsia" w:ascii="仿宋" w:hAnsi="仿宋"/>
                <w:sz w:val="24"/>
                <w:lang w:eastAsia="zh-CN"/>
              </w:rPr>
              <w:t>适宜技术与工具的推广与评价。</w:t>
            </w:r>
          </w:p>
        </w:tc>
        <w:tc>
          <w:tcPr>
            <w:tcW w:w="514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（1）推广使用健康工具（限盐勺、限油壶、健康腰围尺、智能手环等）。</w:t>
            </w:r>
          </w:p>
          <w:p>
            <w:pPr>
              <w:widowControl/>
              <w:jc w:val="both"/>
              <w:textAlignment w:val="center"/>
              <w:rPr>
                <w:rFonts w:ascii="仿宋" w:hAnsi="仿宋"/>
                <w:sz w:val="24"/>
                <w:lang w:eastAsia="zh-CN"/>
              </w:rPr>
            </w:pPr>
            <w:r>
              <w:rPr>
                <w:rFonts w:hint="eastAsia" w:ascii="仿宋" w:hAnsi="仿宋"/>
                <w:sz w:val="24"/>
                <w:lang w:eastAsia="zh-CN"/>
              </w:rPr>
              <w:t>（2）食盐与食用油的摄入量低于全省平均水平3%及以上。</w:t>
            </w:r>
          </w:p>
          <w:p>
            <w:pPr>
              <w:widowControl/>
              <w:jc w:val="both"/>
              <w:textAlignment w:val="center"/>
              <w:rPr>
                <w:rFonts w:ascii="仿宋" w:hAnsi="仿宋"/>
                <w:sz w:val="24"/>
                <w:lang w:eastAsia="zh-CN"/>
              </w:rPr>
            </w:pPr>
            <w:r>
              <w:rPr>
                <w:rFonts w:hint="eastAsia" w:ascii="仿宋" w:hAnsi="仿宋"/>
                <w:sz w:val="24"/>
                <w:lang w:eastAsia="zh-CN"/>
              </w:rPr>
              <w:t>（3）辖区内儿童窝沟封闭服务覆盖率≥60%；辖区12岁儿童患龋率＜25%。</w:t>
            </w:r>
          </w:p>
          <w:p>
            <w:pPr>
              <w:widowControl/>
              <w:jc w:val="both"/>
              <w:textAlignment w:val="center"/>
              <w:rPr>
                <w:rFonts w:ascii="仿宋" w:hAnsi="仿宋"/>
                <w:sz w:val="24"/>
                <w:lang w:eastAsia="zh-CN"/>
              </w:rPr>
            </w:pPr>
            <w:r>
              <w:rPr>
                <w:rFonts w:hint="eastAsia" w:ascii="仿宋" w:hAnsi="仿宋"/>
                <w:sz w:val="24"/>
                <w:lang w:eastAsia="zh-CN"/>
              </w:rPr>
              <w:t>（4）将骨密度检测纳入常规体检，逐年提高50岁及以上人群骨密度检测率。</w:t>
            </w:r>
          </w:p>
          <w:p>
            <w:pPr>
              <w:widowControl/>
              <w:jc w:val="both"/>
              <w:textAlignment w:val="center"/>
              <w:rPr>
                <w:rStyle w:val="17"/>
                <w:rFonts w:ascii="仿宋" w:hAnsi="仿宋" w:eastAsia="仿宋_GB2312" w:cs="仿宋_GB2312"/>
                <w:color w:val="auto"/>
                <w:lang w:eastAsia="zh-CN" w:bidi="ar"/>
              </w:rPr>
            </w:pPr>
            <w:r>
              <w:rPr>
                <w:rFonts w:hint="eastAsia" w:ascii="仿宋" w:hAnsi="仿宋"/>
                <w:sz w:val="24"/>
                <w:lang w:eastAsia="zh-CN"/>
              </w:rPr>
              <w:t>（5）辖区成人肥胖率低于12%；辖区青少年肥胖率低于8%。</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sz w:val="24"/>
                <w:szCs w:val="24"/>
                <w:lang w:eastAsia="zh-CN"/>
              </w:rPr>
            </w:pPr>
            <w:r>
              <w:rPr>
                <w:rFonts w:hint="eastAsia" w:ascii="仿宋" w:hAnsi="仿宋"/>
                <w:sz w:val="24"/>
                <w:szCs w:val="24"/>
                <w:lang w:eastAsia="zh-CN"/>
              </w:rPr>
              <w:t>县卫健局、县总工会</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sz w:val="24"/>
                <w:szCs w:val="24"/>
                <w:lang w:eastAsia="zh-CN"/>
              </w:rPr>
            </w:pPr>
            <w:r>
              <w:rPr>
                <w:rFonts w:hint="eastAsia" w:ascii="仿宋" w:hAnsi="仿宋"/>
                <w:sz w:val="24"/>
                <w:szCs w:val="24"/>
                <w:lang w:eastAsia="zh-CN"/>
              </w:rPr>
              <w:t>县教体局</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strike/>
                <w:kern w:val="2"/>
                <w:sz w:val="24"/>
                <w:szCs w:val="24"/>
                <w:lang w:eastAsia="zh-CN"/>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905"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292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Style w:val="17"/>
                <w:rFonts w:ascii="仿宋" w:hAnsi="仿宋" w:eastAsia="仿宋_GB2312" w:cs="仿宋_GB2312"/>
                <w:color w:val="auto"/>
                <w:lang w:eastAsia="zh-CN" w:bidi="ar"/>
              </w:rPr>
            </w:pPr>
            <w:r>
              <w:rPr>
                <w:rFonts w:hint="eastAsia" w:ascii="仿宋" w:hAnsi="仿宋"/>
                <w:sz w:val="24"/>
                <w:szCs w:val="24"/>
                <w:lang w:eastAsia="zh-CN"/>
              </w:rPr>
              <w:t>2.</w:t>
            </w:r>
            <w:r>
              <w:rPr>
                <w:rFonts w:hint="eastAsia" w:ascii="仿宋" w:hAnsi="仿宋"/>
                <w:sz w:val="24"/>
                <w:lang w:eastAsia="zh-CN"/>
              </w:rPr>
              <w:t>健康生活方式指导员能力建设</w:t>
            </w:r>
            <w:r>
              <w:rPr>
                <w:rFonts w:hint="eastAsia" w:ascii="仿宋" w:hAnsi="仿宋"/>
                <w:sz w:val="24"/>
                <w:szCs w:val="24"/>
                <w:lang w:eastAsia="zh-CN"/>
              </w:rPr>
              <w:t>。</w:t>
            </w:r>
          </w:p>
        </w:tc>
        <w:tc>
          <w:tcPr>
            <w:tcW w:w="514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（1）在健康社区的社区工作者中至少有1名健康生活方式指导员。</w:t>
            </w:r>
          </w:p>
          <w:p>
            <w:pPr>
              <w:widowControl/>
              <w:jc w:val="both"/>
              <w:textAlignment w:val="center"/>
              <w:rPr>
                <w:rStyle w:val="17"/>
                <w:rFonts w:ascii="仿宋" w:hAnsi="仿宋" w:eastAsia="仿宋_GB2312" w:cs="仿宋_GB2312"/>
                <w:color w:val="auto"/>
                <w:lang w:eastAsia="zh-CN" w:bidi="ar"/>
              </w:rPr>
            </w:pPr>
            <w:r>
              <w:rPr>
                <w:rFonts w:hint="eastAsia" w:ascii="仿宋" w:hAnsi="仿宋"/>
                <w:sz w:val="24"/>
                <w:lang w:eastAsia="zh-CN"/>
              </w:rPr>
              <w:t>（2）每年举办或者组织参加“三减三健”相关培训至少1次。</w:t>
            </w:r>
          </w:p>
        </w:tc>
        <w:tc>
          <w:tcPr>
            <w:tcW w:w="1775" w:type="dxa"/>
            <w:tcBorders>
              <w:left w:val="single" w:color="000000" w:sz="4" w:space="0"/>
              <w:bottom w:val="single" w:color="auto" w:sz="4" w:space="0"/>
              <w:right w:val="single" w:color="000000" w:sz="4" w:space="0"/>
            </w:tcBorders>
            <w:shd w:val="clear" w:color="auto" w:fill="auto"/>
            <w:vAlign w:val="center"/>
          </w:tcPr>
          <w:p>
            <w:pPr>
              <w:jc w:val="center"/>
              <w:rPr>
                <w:rFonts w:ascii="仿宋" w:hAnsi="仿宋"/>
                <w:sz w:val="24"/>
                <w:szCs w:val="24"/>
                <w:lang w:eastAsia="zh-CN"/>
              </w:rPr>
            </w:pPr>
            <w:r>
              <w:rPr>
                <w:rFonts w:hint="eastAsia" w:ascii="仿宋" w:hAnsi="仿宋"/>
                <w:sz w:val="24"/>
                <w:szCs w:val="24"/>
                <w:lang w:eastAsia="zh-CN"/>
              </w:rPr>
              <w:t>各乡镇人民政府</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sz w:val="24"/>
                <w:szCs w:val="24"/>
                <w:lang w:eastAsia="zh-CN"/>
              </w:rPr>
            </w:pPr>
            <w:r>
              <w:rPr>
                <w:rFonts w:hint="eastAsia" w:ascii="仿宋" w:hAnsi="仿宋"/>
                <w:sz w:val="24"/>
                <w:szCs w:val="24"/>
                <w:lang w:eastAsia="zh-CN"/>
              </w:rPr>
              <w:t>县卫健局</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sz w:val="24"/>
                <w:szCs w:val="24"/>
                <w:lang w:eastAsia="zh-CN"/>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574"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292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Style w:val="17"/>
                <w:rFonts w:ascii="仿宋" w:hAnsi="仿宋" w:eastAsia="仿宋_GB2312" w:cs="仿宋_GB2312"/>
                <w:color w:val="auto"/>
                <w:lang w:eastAsia="zh-CN" w:bidi="ar"/>
              </w:rPr>
            </w:pPr>
            <w:r>
              <w:rPr>
                <w:rFonts w:hint="eastAsia" w:ascii="仿宋" w:hAnsi="仿宋"/>
                <w:sz w:val="24"/>
                <w:lang w:eastAsia="zh-CN"/>
              </w:rPr>
              <w:t>3.开展健康生活方式指导员的“五进”活动。</w:t>
            </w:r>
          </w:p>
        </w:tc>
        <w:tc>
          <w:tcPr>
            <w:tcW w:w="514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（1）健康生活方式指导覆盖家庭、社区、学校、单位、医院等五类场所。</w:t>
            </w:r>
          </w:p>
          <w:p>
            <w:pPr>
              <w:widowControl/>
              <w:jc w:val="both"/>
              <w:textAlignment w:val="center"/>
              <w:rPr>
                <w:rStyle w:val="17"/>
                <w:rFonts w:ascii="仿宋" w:hAnsi="仿宋" w:eastAsia="仿宋_GB2312" w:cs="仿宋_GB2312"/>
                <w:color w:val="auto"/>
                <w:lang w:eastAsia="zh-CN" w:bidi="ar"/>
              </w:rPr>
            </w:pPr>
            <w:r>
              <w:rPr>
                <w:rFonts w:hint="eastAsia" w:ascii="仿宋" w:hAnsi="仿宋"/>
                <w:sz w:val="24"/>
                <w:lang w:eastAsia="zh-CN"/>
              </w:rPr>
              <w:t>（2）每年至少开展2项特色现场活动。</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sz w:val="24"/>
                <w:szCs w:val="24"/>
                <w:lang w:eastAsia="zh-CN"/>
              </w:rPr>
            </w:pPr>
            <w:r>
              <w:rPr>
                <w:rFonts w:hint="eastAsia" w:ascii="仿宋" w:hAnsi="仿宋"/>
                <w:sz w:val="24"/>
                <w:szCs w:val="24"/>
                <w:lang w:eastAsia="zh-CN"/>
              </w:rPr>
              <w:t>各乡镇人民政府</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sz w:val="24"/>
                <w:szCs w:val="24"/>
                <w:lang w:eastAsia="zh-CN"/>
              </w:rPr>
            </w:pPr>
            <w:r>
              <w:rPr>
                <w:rFonts w:hint="eastAsia" w:ascii="仿宋" w:hAnsi="仿宋"/>
                <w:sz w:val="24"/>
                <w:szCs w:val="24"/>
                <w:lang w:eastAsia="zh-CN"/>
              </w:rPr>
              <w:t>县机关事务服务中心、县教体局、县经科局、县卫健局</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sz w:val="24"/>
                <w:szCs w:val="24"/>
                <w:lang w:eastAsia="zh-CN"/>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5421" w:hRule="atLeast"/>
        </w:trPr>
        <w:tc>
          <w:tcPr>
            <w:tcW w:w="735"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Times New Roman"/>
                <w:sz w:val="24"/>
                <w:szCs w:val="24"/>
              </w:rPr>
            </w:pPr>
            <w:r>
              <w:rPr>
                <w:rFonts w:hint="eastAsia" w:ascii="仿宋" w:hAnsi="仿宋"/>
                <w:sz w:val="24"/>
                <w:lang w:eastAsia="zh-CN"/>
              </w:rPr>
              <w:t>四</w:t>
            </w:r>
            <w:r>
              <w:rPr>
                <w:rFonts w:ascii="仿宋" w:hAnsi="仿宋"/>
                <w:sz w:val="24"/>
                <w:lang w:eastAsia="zh-CN"/>
              </w:rPr>
              <w:t>、体系整合</w:t>
            </w:r>
          </w:p>
        </w:tc>
        <w:tc>
          <w:tcPr>
            <w:tcW w:w="16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eastAsia="仿宋_GB2312" w:cs="Times New Roman"/>
                <w:sz w:val="24"/>
                <w:szCs w:val="24"/>
                <w:lang w:eastAsia="zh-CN"/>
              </w:rPr>
            </w:pPr>
            <w:r>
              <w:rPr>
                <w:rStyle w:val="18"/>
                <w:color w:val="auto"/>
                <w:sz w:val="24"/>
                <w:szCs w:val="24"/>
                <w:lang w:eastAsia="zh-CN" w:bidi="ar"/>
              </w:rPr>
              <w:t>（一）</w:t>
            </w:r>
            <w:r>
              <w:rPr>
                <w:rFonts w:hint="eastAsia" w:ascii="仿宋" w:hAnsi="仿宋"/>
                <w:sz w:val="24"/>
                <w:lang w:eastAsia="zh-CN"/>
              </w:rPr>
              <w:t>建立分工明确、功能互补、防治结合、上下联动、全程连续的慢性病综合防控体系。</w:t>
            </w:r>
          </w:p>
        </w:tc>
        <w:tc>
          <w:tcPr>
            <w:tcW w:w="2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1.建立健全慢性病综合防控服务体系。</w:t>
            </w:r>
          </w:p>
          <w:p>
            <w:pPr>
              <w:widowControl/>
              <w:jc w:val="both"/>
              <w:textAlignment w:val="center"/>
              <w:rPr>
                <w:rStyle w:val="17"/>
                <w:rFonts w:ascii="仿宋" w:hAnsi="仿宋" w:eastAsia="仿宋_GB2312" w:cs="仿宋_GB2312"/>
                <w:color w:val="auto"/>
                <w:lang w:eastAsia="zh-CN" w:bidi="ar"/>
              </w:rPr>
            </w:pPr>
          </w:p>
        </w:tc>
        <w:tc>
          <w:tcPr>
            <w:tcW w:w="51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（1）辖区卫生健康主管部门制定落实慢性病综合防控服务体系建设方案，明确疾病预防控制机构、医院和基层医疗卫生机构慢性病防控职责。</w:t>
            </w:r>
          </w:p>
          <w:p>
            <w:pPr>
              <w:widowControl/>
              <w:jc w:val="both"/>
              <w:textAlignment w:val="center"/>
              <w:rPr>
                <w:rFonts w:ascii="仿宋" w:hAnsi="仿宋"/>
                <w:sz w:val="24"/>
                <w:lang w:eastAsia="zh-CN"/>
              </w:rPr>
            </w:pPr>
            <w:r>
              <w:rPr>
                <w:rFonts w:hint="eastAsia" w:ascii="仿宋" w:hAnsi="仿宋"/>
                <w:sz w:val="24"/>
                <w:lang w:eastAsia="zh-CN"/>
              </w:rPr>
              <w:t>（2）辖区疾病预防控制机构设置有独立的慢性病防控科；慢性病防控科配备慢性病防控专职人员占本机构专业技术人员总数的10%以上。</w:t>
            </w:r>
          </w:p>
          <w:p>
            <w:pPr>
              <w:widowControl/>
              <w:jc w:val="both"/>
              <w:textAlignment w:val="center"/>
              <w:rPr>
                <w:rFonts w:ascii="仿宋" w:hAnsi="仿宋"/>
                <w:sz w:val="24"/>
                <w:lang w:eastAsia="zh-CN"/>
              </w:rPr>
            </w:pPr>
            <w:r>
              <w:rPr>
                <w:rFonts w:hint="eastAsia" w:ascii="仿宋" w:hAnsi="仿宋"/>
                <w:sz w:val="24"/>
                <w:lang w:eastAsia="zh-CN"/>
              </w:rPr>
              <w:t>（3）辖区三级医院、二级综合性医院和基层医疗卫生机构设置有独立的公共卫生科，二级专科医院等其他医疗机构可设置独立的公共卫生科或明确承担公共卫生管理职责的科室。其中，三级综合医院、中医（中西医结合）医院、妇幼保健院公共卫生科配备专职公共卫生人员不少于5名；三级专科医院公共卫生科和二级医院公共卫生相关管理科室配备专职公共卫生人员不少于3名；住院床位数在10张以上的基层医疗卫生机构专职公共卫生人员不少于4名；其他医疗机构专（兼）职公共卫生人员不少于2名。</w:t>
            </w:r>
          </w:p>
          <w:p>
            <w:pPr>
              <w:widowControl/>
              <w:jc w:val="both"/>
              <w:textAlignment w:val="center"/>
              <w:rPr>
                <w:rFonts w:ascii="仿宋" w:hAnsi="仿宋" w:eastAsia="仿宋_GB2312" w:cs="仿宋_GB2312"/>
                <w:sz w:val="24"/>
                <w:lang w:eastAsia="zh-CN"/>
              </w:rPr>
            </w:pP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sz w:val="24"/>
                <w:szCs w:val="24"/>
                <w:lang w:eastAsia="zh-CN"/>
              </w:rPr>
            </w:pPr>
            <w:r>
              <w:rPr>
                <w:rFonts w:hint="eastAsia" w:ascii="仿宋" w:hAnsi="仿宋"/>
                <w:sz w:val="24"/>
                <w:szCs w:val="24"/>
                <w:lang w:eastAsia="zh-CN"/>
              </w:rPr>
              <w:t>县卫健局</w:t>
            </w:r>
          </w:p>
        </w:tc>
        <w:tc>
          <w:tcPr>
            <w:tcW w:w="166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sz w:val="24"/>
                <w:szCs w:val="24"/>
                <w:lang w:eastAsia="zh-CN"/>
              </w:rPr>
            </w:pPr>
            <w:r>
              <w:rPr>
                <w:rFonts w:hint="eastAsia" w:ascii="仿宋" w:hAnsi="仿宋"/>
                <w:sz w:val="24"/>
                <w:szCs w:val="24"/>
                <w:lang w:eastAsia="zh-CN"/>
              </w:rPr>
              <w:t>县疾控中心、</w:t>
            </w:r>
            <w:r>
              <w:rPr>
                <w:rFonts w:ascii="仿宋" w:hAnsi="仿宋"/>
                <w:sz w:val="24"/>
                <w:szCs w:val="24"/>
                <w:lang w:eastAsia="zh-CN"/>
              </w:rPr>
              <w:t>各</w:t>
            </w:r>
            <w:r>
              <w:rPr>
                <w:rFonts w:hint="eastAsia" w:ascii="仿宋" w:hAnsi="仿宋"/>
                <w:sz w:val="24"/>
                <w:szCs w:val="24"/>
                <w:lang w:eastAsia="zh-CN"/>
              </w:rPr>
              <w:t>级</w:t>
            </w:r>
            <w:r>
              <w:rPr>
                <w:rFonts w:ascii="仿宋" w:hAnsi="仿宋"/>
                <w:sz w:val="24"/>
                <w:szCs w:val="24"/>
                <w:lang w:eastAsia="zh-CN"/>
              </w:rPr>
              <w:t>医疗卫生机构</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sz w:val="24"/>
                <w:szCs w:val="24"/>
                <w:lang w:eastAsia="zh-CN"/>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823"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仿宋" w:hAnsi="仿宋"/>
              </w:rPr>
            </w:pPr>
          </w:p>
        </w:tc>
        <w:tc>
          <w:tcPr>
            <w:tcW w:w="1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rPr>
            </w:pPr>
          </w:p>
        </w:tc>
        <w:tc>
          <w:tcPr>
            <w:tcW w:w="51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_GB2312" w:cs="仿宋_GB2312"/>
                <w:sz w:val="24"/>
                <w:lang w:eastAsia="zh-CN"/>
              </w:rPr>
            </w:pPr>
            <w:r>
              <w:rPr>
                <w:rFonts w:hint="eastAsia" w:ascii="仿宋" w:hAnsi="仿宋"/>
                <w:sz w:val="24"/>
                <w:lang w:eastAsia="zh-CN"/>
              </w:rPr>
              <w:t>（4）加强基层公共卫生工作组织协调，成立村居公共卫生委员会。</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各乡镇人民政府</w:t>
            </w:r>
          </w:p>
        </w:tc>
        <w:tc>
          <w:tcPr>
            <w:tcW w:w="16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县卫健局</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kern w:val="2"/>
                <w:sz w:val="24"/>
                <w:szCs w:val="24"/>
                <w:lang w:eastAsia="zh-CN"/>
              </w:rPr>
            </w:pPr>
            <w:r>
              <w:rPr>
                <w:rFonts w:ascii="仿宋" w:hAnsi="仿宋"/>
                <w:kern w:val="2"/>
                <w:sz w:val="24"/>
                <w:szCs w:val="24"/>
                <w:lang w:eastAsia="zh-CN"/>
              </w:rPr>
              <w:t>202</w:t>
            </w:r>
            <w:r>
              <w:rPr>
                <w:rFonts w:hint="eastAsia" w:ascii="仿宋" w:hAnsi="仿宋"/>
                <w:kern w:val="2"/>
                <w:sz w:val="24"/>
                <w:szCs w:val="24"/>
                <w:lang w:eastAsia="zh-CN"/>
              </w:rPr>
              <w:t>4</w:t>
            </w:r>
            <w:r>
              <w:rPr>
                <w:rFonts w:ascii="仿宋" w:hAnsi="仿宋"/>
                <w:kern w:val="2"/>
                <w:sz w:val="24"/>
                <w:szCs w:val="24"/>
                <w:lang w:eastAsia="zh-CN"/>
              </w:rPr>
              <w:t>年</w:t>
            </w:r>
            <w:r>
              <w:rPr>
                <w:rFonts w:hint="eastAsia" w:ascii="仿宋" w:hAnsi="仿宋"/>
                <w:kern w:val="2"/>
                <w:sz w:val="24"/>
                <w:szCs w:val="24"/>
                <w:lang w:eastAsia="zh-CN"/>
              </w:rPr>
              <w:t>7</w:t>
            </w:r>
            <w:r>
              <w:rPr>
                <w:rFonts w:ascii="仿宋" w:hAnsi="仿宋"/>
                <w:kern w:val="2"/>
                <w:sz w:val="24"/>
                <w:szCs w:val="24"/>
                <w:lang w:eastAsia="zh-CN"/>
              </w:rPr>
              <w:t>月</w:t>
            </w:r>
          </w:p>
        </w:tc>
      </w:tr>
      <w:tr>
        <w:tblPrEx>
          <w:tblCellMar>
            <w:top w:w="0" w:type="dxa"/>
            <w:left w:w="108" w:type="dxa"/>
            <w:bottom w:w="0" w:type="dxa"/>
            <w:right w:w="108" w:type="dxa"/>
          </w:tblCellMar>
        </w:tblPrEx>
        <w:trPr>
          <w:trHeight w:val="7183"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Times New Roman"/>
                <w:sz w:val="24"/>
                <w:szCs w:val="24"/>
              </w:rPr>
            </w:pPr>
          </w:p>
        </w:tc>
        <w:tc>
          <w:tcPr>
            <w:tcW w:w="1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eastAsia="仿宋_GB2312" w:cs="Times New Roman"/>
                <w:sz w:val="24"/>
                <w:szCs w:val="24"/>
              </w:rPr>
            </w:pPr>
          </w:p>
        </w:tc>
        <w:tc>
          <w:tcPr>
            <w:tcW w:w="2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eastAsia="仿宋_GB2312" w:cs="Times New Roman"/>
                <w:sz w:val="24"/>
                <w:szCs w:val="24"/>
                <w:lang w:eastAsia="zh-CN"/>
              </w:rPr>
            </w:pPr>
            <w:r>
              <w:rPr>
                <w:rFonts w:hint="eastAsia" w:ascii="仿宋" w:hAnsi="仿宋"/>
                <w:sz w:val="24"/>
                <w:lang w:eastAsia="zh-CN"/>
              </w:rPr>
              <w:t>2.建立健全资源共享、信息互通、责任共担、综合连续的医防协作、防治结合工作机制，推进医疗卫生机构提供慢性病整合型“防筛治康管护养”服务。</w:t>
            </w:r>
          </w:p>
        </w:tc>
        <w:tc>
          <w:tcPr>
            <w:tcW w:w="514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（1）辖区卫生健康主管部门负责组织、督促疾病预防控制机构、综合和专科医院、基层医疗卫生机构健全医防协作、防治结合工作机制，定期进行考核评价，确保服务体系有效运行。</w:t>
            </w:r>
          </w:p>
          <w:p>
            <w:pPr>
              <w:widowControl/>
              <w:jc w:val="both"/>
              <w:textAlignment w:val="center"/>
              <w:rPr>
                <w:rFonts w:ascii="仿宋" w:hAnsi="仿宋"/>
                <w:sz w:val="24"/>
                <w:lang w:eastAsia="zh-CN"/>
              </w:rPr>
            </w:pPr>
            <w:r>
              <w:rPr>
                <w:rFonts w:hint="eastAsia" w:ascii="仿宋" w:hAnsi="仿宋"/>
                <w:sz w:val="24"/>
                <w:lang w:eastAsia="zh-CN"/>
              </w:rPr>
              <w:t>（2）辖区疾病预防控制机构在卫生健康主管部门领导下，负责建立完善辖区慢性病防控工作质量评价机制，对辖区综合和专科医院、基层医疗卫生机构进行慢性病防控工作业务指导、质量控制和效果评估。</w:t>
            </w:r>
          </w:p>
          <w:p>
            <w:pPr>
              <w:widowControl/>
              <w:jc w:val="both"/>
              <w:textAlignment w:val="center"/>
              <w:rPr>
                <w:rFonts w:ascii="仿宋" w:hAnsi="仿宋"/>
                <w:sz w:val="24"/>
                <w:lang w:eastAsia="zh-CN"/>
              </w:rPr>
            </w:pPr>
            <w:r>
              <w:rPr>
                <w:rFonts w:hint="eastAsia" w:ascii="仿宋" w:hAnsi="仿宋"/>
                <w:sz w:val="24"/>
                <w:lang w:eastAsia="zh-CN"/>
              </w:rPr>
              <w:t>（3）辖区综合和专科医院负责对基层医疗卫生机构进行适宜技术推广、技术指导和对口支援，建立有效的合作关系。</w:t>
            </w:r>
          </w:p>
          <w:p>
            <w:pPr>
              <w:widowControl/>
              <w:jc w:val="both"/>
              <w:textAlignment w:val="center"/>
              <w:rPr>
                <w:rFonts w:ascii="仿宋" w:hAnsi="仿宋"/>
                <w:sz w:val="24"/>
                <w:lang w:eastAsia="zh-CN"/>
              </w:rPr>
            </w:pPr>
            <w:r>
              <w:rPr>
                <w:rFonts w:hint="eastAsia" w:ascii="仿宋" w:hAnsi="仿宋"/>
                <w:sz w:val="24"/>
                <w:lang w:eastAsia="zh-CN"/>
              </w:rPr>
              <w:t>（4）辖区疾病预防控制机构选派专业技术人员参与县域医联体、医共体慢性病防控工作，为重点人群、重点慢性病提供针对性健康促进、预防保健、康复指导等服务，并下沉基层医疗卫生机构、学校指导慢性病防控工作。</w:t>
            </w:r>
          </w:p>
          <w:p>
            <w:pPr>
              <w:widowControl/>
              <w:jc w:val="both"/>
              <w:textAlignment w:val="center"/>
              <w:rPr>
                <w:rStyle w:val="14"/>
                <w:rFonts w:hint="default" w:eastAsia="仿宋_GB2312" w:cs="Times New Roman"/>
                <w:color w:val="auto"/>
                <w:lang w:eastAsia="zh-CN" w:bidi="ar"/>
              </w:rPr>
            </w:pPr>
            <w:r>
              <w:rPr>
                <w:rFonts w:hint="eastAsia" w:ascii="仿宋" w:hAnsi="仿宋"/>
                <w:sz w:val="24"/>
                <w:lang w:eastAsia="zh-CN"/>
              </w:rPr>
              <w:t>（5）辖区疾病预防控制机构、综合和专科医院、基层医疗卫生机构、养老机构密切协作，建立健全全专结合、防治结合、中西医结合、医养结合的工作机制，为慢性病患者提供整合型、连续性“防筛治康管护养”服务。</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县卫健局、县民政局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县医改办、县疾控中心、</w:t>
            </w:r>
            <w:r>
              <w:rPr>
                <w:rFonts w:ascii="仿宋" w:hAnsi="仿宋"/>
                <w:kern w:val="2"/>
                <w:sz w:val="24"/>
                <w:szCs w:val="24"/>
                <w:lang w:eastAsia="zh-CN"/>
              </w:rPr>
              <w:t>各</w:t>
            </w:r>
            <w:r>
              <w:rPr>
                <w:rFonts w:hint="eastAsia" w:ascii="仿宋" w:hAnsi="仿宋"/>
                <w:kern w:val="2"/>
                <w:sz w:val="24"/>
                <w:szCs w:val="24"/>
                <w:lang w:eastAsia="zh-CN"/>
              </w:rPr>
              <w:t>级</w:t>
            </w:r>
            <w:r>
              <w:rPr>
                <w:rFonts w:ascii="仿宋" w:hAnsi="仿宋"/>
                <w:kern w:val="2"/>
                <w:sz w:val="24"/>
                <w:szCs w:val="24"/>
                <w:lang w:eastAsia="zh-CN"/>
              </w:rPr>
              <w:t>医疗卫生机构</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ascii="仿宋" w:hAnsi="仿宋"/>
                <w:kern w:val="2"/>
                <w:sz w:val="24"/>
                <w:szCs w:val="24"/>
                <w:lang w:eastAsia="zh-CN"/>
              </w:rPr>
              <w:t>202</w:t>
            </w:r>
            <w:r>
              <w:rPr>
                <w:rFonts w:hint="eastAsia" w:ascii="仿宋" w:hAnsi="仿宋"/>
                <w:kern w:val="2"/>
                <w:sz w:val="24"/>
                <w:szCs w:val="24"/>
                <w:lang w:eastAsia="zh-CN"/>
              </w:rPr>
              <w:t>4</w:t>
            </w:r>
            <w:r>
              <w:rPr>
                <w:rFonts w:ascii="仿宋" w:hAnsi="仿宋"/>
                <w:kern w:val="2"/>
                <w:sz w:val="24"/>
                <w:szCs w:val="24"/>
                <w:lang w:eastAsia="zh-CN"/>
              </w:rPr>
              <w:t>年</w:t>
            </w:r>
            <w:r>
              <w:rPr>
                <w:rFonts w:hint="eastAsia" w:ascii="仿宋" w:hAnsi="仿宋"/>
                <w:kern w:val="2"/>
                <w:sz w:val="24"/>
                <w:szCs w:val="24"/>
                <w:lang w:eastAsia="zh-CN"/>
              </w:rPr>
              <w:t>7</w:t>
            </w:r>
            <w:r>
              <w:rPr>
                <w:rFonts w:ascii="仿宋" w:hAnsi="仿宋"/>
                <w:kern w:val="2"/>
                <w:sz w:val="24"/>
                <w:szCs w:val="24"/>
                <w:lang w:eastAsia="zh-CN"/>
              </w:rPr>
              <w:t>月</w:t>
            </w:r>
          </w:p>
        </w:tc>
      </w:tr>
      <w:tr>
        <w:tblPrEx>
          <w:tblCellMar>
            <w:top w:w="0" w:type="dxa"/>
            <w:left w:w="108" w:type="dxa"/>
            <w:bottom w:w="0" w:type="dxa"/>
            <w:right w:w="108" w:type="dxa"/>
          </w:tblCellMar>
        </w:tblPrEx>
        <w:trPr>
          <w:trHeight w:val="896"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 w:hAnsi="仿宋" w:eastAsia="仿宋_GB2312" w:cs="Times New Roman"/>
                <w:sz w:val="24"/>
                <w:szCs w:val="24"/>
                <w:lang w:eastAsia="zh-CN"/>
              </w:rPr>
            </w:pPr>
            <w:r>
              <w:rPr>
                <w:rFonts w:hint="eastAsia" w:ascii="仿宋" w:hAnsi="仿宋"/>
                <w:sz w:val="24"/>
                <w:lang w:eastAsia="zh-CN"/>
              </w:rPr>
              <w:t>（二）加强慢性病防控队伍能力建设。</w:t>
            </w:r>
          </w:p>
        </w:tc>
        <w:tc>
          <w:tcPr>
            <w:tcW w:w="2925" w:type="dxa"/>
            <w:tcBorders>
              <w:top w:val="single" w:color="auto" w:sz="4" w:space="0"/>
              <w:left w:val="single" w:color="auto" w:sz="4" w:space="0"/>
              <w:bottom w:val="single" w:color="auto" w:sz="4" w:space="0"/>
              <w:right w:val="single" w:color="auto" w:sz="4" w:space="0"/>
            </w:tcBorders>
            <w:shd w:val="clear" w:color="auto" w:fill="auto"/>
          </w:tcPr>
          <w:p>
            <w:pPr>
              <w:widowControl/>
              <w:jc w:val="both"/>
              <w:textAlignment w:val="center"/>
              <w:rPr>
                <w:rFonts w:ascii="仿宋" w:hAnsi="仿宋" w:eastAsia="仿宋_GB2312" w:cs="仿宋_GB2312"/>
                <w:sz w:val="24"/>
                <w:szCs w:val="24"/>
                <w:lang w:eastAsia="zh-CN"/>
              </w:rPr>
            </w:pPr>
            <w:r>
              <w:rPr>
                <w:rFonts w:hint="eastAsia" w:ascii="仿宋" w:hAnsi="仿宋"/>
                <w:sz w:val="24"/>
                <w:lang w:eastAsia="zh-CN"/>
              </w:rPr>
              <w:t>1.加强辖区疾病预防控制机构慢性病防控专业技术人员能力建设。</w:t>
            </w:r>
          </w:p>
        </w:tc>
        <w:tc>
          <w:tcPr>
            <w:tcW w:w="514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辖区疾病预防控制机构每年组织本单位慢性病防控专业技术人员参加专业培训不少于2次。</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县疾控中心</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ascii="仿宋" w:hAnsi="仿宋"/>
                <w:kern w:val="2"/>
                <w:sz w:val="24"/>
                <w:szCs w:val="24"/>
                <w:lang w:eastAsia="zh-CN"/>
              </w:rPr>
              <w:t>202</w:t>
            </w:r>
            <w:r>
              <w:rPr>
                <w:rFonts w:hint="eastAsia" w:ascii="仿宋" w:hAnsi="仿宋"/>
                <w:kern w:val="2"/>
                <w:sz w:val="24"/>
                <w:szCs w:val="24"/>
                <w:lang w:eastAsia="zh-CN"/>
              </w:rPr>
              <w:t>4</w:t>
            </w:r>
            <w:r>
              <w:rPr>
                <w:rFonts w:ascii="仿宋" w:hAnsi="仿宋"/>
                <w:kern w:val="2"/>
                <w:sz w:val="24"/>
                <w:szCs w:val="24"/>
                <w:lang w:eastAsia="zh-CN"/>
              </w:rPr>
              <w:t>年</w:t>
            </w:r>
            <w:r>
              <w:rPr>
                <w:rFonts w:hint="eastAsia" w:ascii="仿宋" w:hAnsi="仿宋"/>
                <w:kern w:val="2"/>
                <w:sz w:val="24"/>
                <w:szCs w:val="24"/>
                <w:lang w:eastAsia="zh-CN"/>
              </w:rPr>
              <w:t>7</w:t>
            </w:r>
            <w:r>
              <w:rPr>
                <w:rFonts w:ascii="仿宋" w:hAnsi="仿宋"/>
                <w:kern w:val="2"/>
                <w:sz w:val="24"/>
                <w:szCs w:val="24"/>
                <w:lang w:eastAsia="zh-CN"/>
              </w:rPr>
              <w:t>月</w:t>
            </w:r>
          </w:p>
        </w:tc>
      </w:tr>
      <w:tr>
        <w:tblPrEx>
          <w:tblCellMar>
            <w:top w:w="0" w:type="dxa"/>
            <w:left w:w="108" w:type="dxa"/>
            <w:bottom w:w="0" w:type="dxa"/>
            <w:right w:w="108" w:type="dxa"/>
          </w:tblCellMar>
        </w:tblPrEx>
        <w:trPr>
          <w:trHeight w:val="607"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 w:hAnsi="仿宋" w:eastAsia="仿宋_GB2312" w:cs="仿宋_GB2312"/>
                <w:sz w:val="24"/>
              </w:rPr>
            </w:pPr>
          </w:p>
        </w:tc>
        <w:tc>
          <w:tcPr>
            <w:tcW w:w="2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2.提升二级及以上医院公共卫生人员专业能力。</w:t>
            </w:r>
          </w:p>
          <w:p>
            <w:pPr>
              <w:widowControl/>
              <w:jc w:val="both"/>
              <w:textAlignment w:val="center"/>
              <w:rPr>
                <w:rFonts w:ascii="仿宋" w:hAnsi="仿宋" w:eastAsia="仿宋_GB2312" w:cs="仿宋_GB2312"/>
                <w:sz w:val="24"/>
                <w:szCs w:val="24"/>
                <w:lang w:eastAsia="zh-CN"/>
              </w:rPr>
            </w:pPr>
          </w:p>
        </w:tc>
        <w:tc>
          <w:tcPr>
            <w:tcW w:w="514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（1）二级及以上医院每年组织本单位承担疾病预防控制工作的专业技术人员接受专业培训不少于2次。</w:t>
            </w:r>
          </w:p>
          <w:p>
            <w:pPr>
              <w:widowControl/>
              <w:jc w:val="both"/>
              <w:textAlignment w:val="center"/>
              <w:rPr>
                <w:rFonts w:ascii="仿宋" w:hAnsi="仿宋"/>
                <w:sz w:val="24"/>
                <w:lang w:eastAsia="zh-CN"/>
              </w:rPr>
            </w:pPr>
            <w:r>
              <w:rPr>
                <w:rFonts w:hint="eastAsia" w:ascii="仿宋" w:hAnsi="仿宋"/>
                <w:sz w:val="24"/>
                <w:lang w:eastAsia="zh-CN"/>
              </w:rPr>
              <w:t>（2）二级及以上医院每年组织对辖区基层医疗机构的慢病专业培训不少于2次。</w:t>
            </w:r>
          </w:p>
          <w:p>
            <w:pPr>
              <w:widowControl/>
              <w:jc w:val="both"/>
              <w:textAlignment w:val="center"/>
              <w:rPr>
                <w:rFonts w:ascii="仿宋" w:hAnsi="仿宋" w:eastAsia="仿宋_GB2312" w:cs="仿宋_GB2312"/>
                <w:sz w:val="24"/>
                <w:lang w:eastAsia="zh-CN"/>
              </w:rPr>
            </w:pPr>
            <w:r>
              <w:rPr>
                <w:rFonts w:hint="eastAsia" w:ascii="仿宋" w:hAnsi="仿宋"/>
                <w:sz w:val="24"/>
                <w:lang w:eastAsia="zh-CN"/>
              </w:rPr>
              <w:t>（3）县级医院依托现有资源建立健康管理中心和重大慢性病相关专科专病中心，提升肿瘤、心脑血管疾病等重大慢性病的诊疗服务和健康管理能力。</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二级及以上医疗卫生机构</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ascii="仿宋" w:hAnsi="仿宋"/>
                <w:kern w:val="2"/>
                <w:sz w:val="24"/>
                <w:szCs w:val="24"/>
                <w:lang w:eastAsia="zh-CN"/>
              </w:rPr>
              <w:t>202</w:t>
            </w:r>
            <w:r>
              <w:rPr>
                <w:rFonts w:hint="eastAsia" w:ascii="仿宋" w:hAnsi="仿宋"/>
                <w:kern w:val="2"/>
                <w:sz w:val="24"/>
                <w:szCs w:val="24"/>
                <w:lang w:eastAsia="zh-CN"/>
              </w:rPr>
              <w:t>4</w:t>
            </w:r>
            <w:r>
              <w:rPr>
                <w:rFonts w:ascii="仿宋" w:hAnsi="仿宋"/>
                <w:kern w:val="2"/>
                <w:sz w:val="24"/>
                <w:szCs w:val="24"/>
                <w:lang w:eastAsia="zh-CN"/>
              </w:rPr>
              <w:t>年</w:t>
            </w:r>
            <w:r>
              <w:rPr>
                <w:rFonts w:hint="eastAsia" w:ascii="仿宋" w:hAnsi="仿宋"/>
                <w:kern w:val="2"/>
                <w:sz w:val="24"/>
                <w:szCs w:val="24"/>
                <w:lang w:eastAsia="zh-CN"/>
              </w:rPr>
              <w:t>7</w:t>
            </w:r>
            <w:r>
              <w:rPr>
                <w:rFonts w:ascii="仿宋" w:hAnsi="仿宋"/>
                <w:kern w:val="2"/>
                <w:sz w:val="24"/>
                <w:szCs w:val="24"/>
                <w:lang w:eastAsia="zh-CN"/>
              </w:rPr>
              <w:t>月</w:t>
            </w:r>
          </w:p>
        </w:tc>
      </w:tr>
      <w:tr>
        <w:tblPrEx>
          <w:tblCellMar>
            <w:top w:w="0" w:type="dxa"/>
            <w:left w:w="108" w:type="dxa"/>
            <w:bottom w:w="0" w:type="dxa"/>
            <w:right w:w="108" w:type="dxa"/>
          </w:tblCellMar>
        </w:tblPrEx>
        <w:trPr>
          <w:trHeight w:val="90"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 w:hAnsi="仿宋" w:eastAsia="仿宋_GB2312" w:cs="仿宋_GB2312"/>
                <w:sz w:val="24"/>
              </w:rPr>
            </w:pPr>
          </w:p>
        </w:tc>
        <w:tc>
          <w:tcPr>
            <w:tcW w:w="2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Fonts w:hint="eastAsia" w:ascii="仿宋" w:hAnsi="仿宋"/>
                <w:sz w:val="24"/>
                <w:lang w:eastAsia="zh-CN"/>
              </w:rPr>
              <w:t>3.加强基层医疗卫生机构公共卫生服务能力建设。</w:t>
            </w:r>
          </w:p>
        </w:tc>
        <w:tc>
          <w:tcPr>
            <w:tcW w:w="514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（1）基层医疗卫生机构每年接受上级疾病预防控制机构慢性病防控专业技术培训不少于2次。</w:t>
            </w:r>
          </w:p>
          <w:p>
            <w:pPr>
              <w:widowControl/>
              <w:jc w:val="both"/>
              <w:textAlignment w:val="center"/>
              <w:rPr>
                <w:rFonts w:ascii="仿宋" w:hAnsi="仿宋"/>
                <w:sz w:val="24"/>
                <w:lang w:eastAsia="zh-CN"/>
              </w:rPr>
            </w:pPr>
            <w:r>
              <w:rPr>
                <w:rFonts w:hint="eastAsia" w:ascii="仿宋" w:hAnsi="仿宋"/>
                <w:sz w:val="24"/>
                <w:lang w:eastAsia="zh-CN"/>
              </w:rPr>
              <w:t>（2）基层医疗卫生机构每年接受上级医疗机构慢性病防治专业技术培训不少于2次。</w:t>
            </w:r>
          </w:p>
          <w:p>
            <w:pPr>
              <w:widowControl/>
              <w:jc w:val="both"/>
              <w:textAlignment w:val="center"/>
              <w:rPr>
                <w:rFonts w:ascii="仿宋" w:hAnsi="仿宋" w:eastAsia="仿宋_GB2312" w:cs="仿宋_GB2312"/>
                <w:sz w:val="24"/>
                <w:lang w:eastAsia="zh-CN"/>
              </w:rPr>
            </w:pPr>
            <w:r>
              <w:rPr>
                <w:rFonts w:hint="eastAsia" w:ascii="仿宋" w:hAnsi="仿宋"/>
                <w:sz w:val="24"/>
                <w:lang w:eastAsia="zh-CN"/>
              </w:rPr>
              <w:t>（3）基层医疗卫生机构每年组织对村卫生室或社区卫生服务站医护人员的培训不少于2次。</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县疾控中心、</w:t>
            </w:r>
            <w:r>
              <w:rPr>
                <w:rFonts w:ascii="仿宋" w:hAnsi="仿宋"/>
                <w:kern w:val="2"/>
                <w:sz w:val="24"/>
                <w:szCs w:val="24"/>
                <w:lang w:eastAsia="zh-CN"/>
              </w:rPr>
              <w:t>各社区卫生服务中心、乡镇（中心）卫生院</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ascii="仿宋" w:hAnsi="仿宋"/>
                <w:kern w:val="2"/>
                <w:sz w:val="24"/>
                <w:szCs w:val="24"/>
                <w:lang w:eastAsia="zh-CN"/>
              </w:rPr>
              <w:t>202</w:t>
            </w:r>
            <w:r>
              <w:rPr>
                <w:rFonts w:hint="eastAsia" w:ascii="仿宋" w:hAnsi="仿宋"/>
                <w:kern w:val="2"/>
                <w:sz w:val="24"/>
                <w:szCs w:val="24"/>
                <w:lang w:eastAsia="zh-CN"/>
              </w:rPr>
              <w:t>4</w:t>
            </w:r>
            <w:r>
              <w:rPr>
                <w:rFonts w:ascii="仿宋" w:hAnsi="仿宋"/>
                <w:kern w:val="2"/>
                <w:sz w:val="24"/>
                <w:szCs w:val="24"/>
                <w:lang w:eastAsia="zh-CN"/>
              </w:rPr>
              <w:t>年</w:t>
            </w:r>
            <w:r>
              <w:rPr>
                <w:rFonts w:hint="eastAsia" w:ascii="仿宋" w:hAnsi="仿宋"/>
                <w:kern w:val="2"/>
                <w:sz w:val="24"/>
                <w:szCs w:val="24"/>
                <w:lang w:eastAsia="zh-CN"/>
              </w:rPr>
              <w:t>7</w:t>
            </w:r>
            <w:r>
              <w:rPr>
                <w:rFonts w:ascii="仿宋" w:hAnsi="仿宋"/>
                <w:kern w:val="2"/>
                <w:sz w:val="24"/>
                <w:szCs w:val="24"/>
                <w:lang w:eastAsia="zh-CN"/>
              </w:rPr>
              <w:t>月</w:t>
            </w:r>
          </w:p>
        </w:tc>
      </w:tr>
      <w:tr>
        <w:tblPrEx>
          <w:tblCellMar>
            <w:top w:w="0" w:type="dxa"/>
            <w:left w:w="108" w:type="dxa"/>
            <w:bottom w:w="0" w:type="dxa"/>
            <w:right w:w="108" w:type="dxa"/>
          </w:tblCellMar>
        </w:tblPrEx>
        <w:trPr>
          <w:trHeight w:val="1053" w:hRule="atLeast"/>
        </w:trPr>
        <w:tc>
          <w:tcPr>
            <w:tcW w:w="735"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suppressAutoHyphens/>
              <w:spacing w:line="280" w:lineRule="exact"/>
              <w:jc w:val="center"/>
              <w:textAlignment w:val="center"/>
              <w:rPr>
                <w:rFonts w:ascii="仿宋" w:hAnsi="仿宋"/>
                <w:sz w:val="24"/>
                <w:lang w:eastAsia="zh-CN"/>
              </w:rPr>
            </w:pPr>
            <w:r>
              <w:rPr>
                <w:rFonts w:hint="eastAsia" w:ascii="仿宋" w:hAnsi="仿宋"/>
                <w:sz w:val="24"/>
                <w:lang w:eastAsia="zh-CN"/>
              </w:rPr>
              <w:t>五、健康教育与健康促进</w:t>
            </w:r>
          </w:p>
          <w:p>
            <w:pPr>
              <w:jc w:val="center"/>
              <w:rPr>
                <w:rFonts w:ascii="仿宋" w:hAnsi="仿宋" w:eastAsia="仿宋_GB2312" w:cs="Times New Roman"/>
                <w:sz w:val="24"/>
                <w:szCs w:val="24"/>
                <w:lang w:eastAsia="zh-CN"/>
              </w:rPr>
            </w:pPr>
          </w:p>
        </w:tc>
        <w:tc>
          <w:tcPr>
            <w:tcW w:w="1639"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suppressAutoHyphens/>
              <w:spacing w:line="280" w:lineRule="exact"/>
              <w:textAlignment w:val="center"/>
              <w:rPr>
                <w:rFonts w:ascii="仿宋" w:hAnsi="仿宋"/>
                <w:sz w:val="24"/>
                <w:lang w:eastAsia="zh-CN"/>
              </w:rPr>
            </w:pPr>
            <w:r>
              <w:rPr>
                <w:rFonts w:hint="eastAsia" w:ascii="仿宋" w:hAnsi="仿宋"/>
                <w:sz w:val="24"/>
                <w:lang w:eastAsia="zh-CN"/>
              </w:rPr>
              <w:t>（一）通过多种渠道积极开展慢性病防治全民健康教育。</w:t>
            </w:r>
          </w:p>
          <w:p>
            <w:pPr>
              <w:jc w:val="center"/>
              <w:rPr>
                <w:rFonts w:ascii="仿宋" w:hAnsi="仿宋" w:eastAsia="仿宋_GB2312" w:cs="Times New Roman"/>
                <w:sz w:val="24"/>
                <w:szCs w:val="24"/>
                <w:lang w:eastAsia="zh-CN"/>
              </w:rPr>
            </w:pPr>
          </w:p>
        </w:tc>
        <w:tc>
          <w:tcPr>
            <w:tcW w:w="2925" w:type="dxa"/>
            <w:vMerge w:val="restart"/>
            <w:tcBorders>
              <w:top w:val="single" w:color="auto" w:sz="4" w:space="0"/>
              <w:left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1.开展形式多样的健康教育与健康促进活动，广泛传播慢性病防治知识，提升健康素养。</w:t>
            </w:r>
          </w:p>
        </w:tc>
        <w:tc>
          <w:tcPr>
            <w:tcW w:w="514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（1）当地社会主流媒体和互联网等新媒体广泛开展慢性病防治和健康保健知识科普，每月不少于2次。</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县委宣传部、县融媒体中心</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县卫健局</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ascii="仿宋" w:hAnsi="仿宋"/>
                <w:kern w:val="2"/>
                <w:sz w:val="24"/>
                <w:szCs w:val="24"/>
                <w:lang w:eastAsia="zh-CN"/>
              </w:rPr>
              <w:t>202</w:t>
            </w:r>
            <w:r>
              <w:rPr>
                <w:rFonts w:hint="eastAsia" w:ascii="仿宋" w:hAnsi="仿宋"/>
                <w:kern w:val="2"/>
                <w:sz w:val="24"/>
                <w:szCs w:val="24"/>
                <w:lang w:eastAsia="zh-CN"/>
              </w:rPr>
              <w:t>4</w:t>
            </w:r>
            <w:r>
              <w:rPr>
                <w:rFonts w:ascii="仿宋" w:hAnsi="仿宋"/>
                <w:kern w:val="2"/>
                <w:sz w:val="24"/>
                <w:szCs w:val="24"/>
                <w:lang w:eastAsia="zh-CN"/>
              </w:rPr>
              <w:t>年</w:t>
            </w:r>
            <w:r>
              <w:rPr>
                <w:rFonts w:hint="eastAsia" w:ascii="仿宋" w:hAnsi="仿宋"/>
                <w:kern w:val="2"/>
                <w:sz w:val="24"/>
                <w:szCs w:val="24"/>
                <w:lang w:eastAsia="zh-CN"/>
              </w:rPr>
              <w:t>9</w:t>
            </w:r>
            <w:r>
              <w:rPr>
                <w:rFonts w:ascii="仿宋" w:hAnsi="仿宋"/>
                <w:kern w:val="2"/>
                <w:sz w:val="24"/>
                <w:szCs w:val="24"/>
                <w:lang w:eastAsia="zh-CN"/>
              </w:rPr>
              <w:t>月</w:t>
            </w:r>
          </w:p>
        </w:tc>
      </w:tr>
      <w:tr>
        <w:tblPrEx>
          <w:tblCellMar>
            <w:top w:w="0" w:type="dxa"/>
            <w:left w:w="108" w:type="dxa"/>
            <w:bottom w:w="0" w:type="dxa"/>
            <w:right w:w="108" w:type="dxa"/>
          </w:tblCellMar>
        </w:tblPrEx>
        <w:trPr>
          <w:trHeight w:val="625"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rPr>
            </w:pPr>
          </w:p>
        </w:tc>
        <w:tc>
          <w:tcPr>
            <w:tcW w:w="163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rPr>
            </w:pPr>
          </w:p>
        </w:tc>
        <w:tc>
          <w:tcPr>
            <w:tcW w:w="2925"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ascii="仿宋" w:hAnsi="仿宋"/>
              </w:rPr>
            </w:pPr>
          </w:p>
        </w:tc>
        <w:tc>
          <w:tcPr>
            <w:tcW w:w="5142"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仿宋" w:hAnsi="仿宋" w:eastAsia="仿宋_GB2312" w:cs="仿宋_GB2312"/>
                <w:sz w:val="24"/>
                <w:lang w:eastAsia="zh-CN"/>
              </w:rPr>
            </w:pPr>
            <w:r>
              <w:rPr>
                <w:rFonts w:hint="eastAsia" w:ascii="仿宋" w:hAnsi="仿宋"/>
                <w:sz w:val="24"/>
                <w:lang w:eastAsia="zh-CN"/>
              </w:rPr>
              <w:t>（2）建立医疗机构和医务人员开展健康教育和健康促进的绩效考核机制。</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各级医疗卫生机构</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ascii="仿宋" w:hAnsi="仿宋"/>
                <w:kern w:val="2"/>
                <w:sz w:val="24"/>
                <w:szCs w:val="24"/>
                <w:lang w:eastAsia="zh-CN"/>
              </w:rPr>
              <w:t>202</w:t>
            </w:r>
            <w:r>
              <w:rPr>
                <w:rFonts w:hint="eastAsia" w:ascii="仿宋" w:hAnsi="仿宋"/>
                <w:kern w:val="2"/>
                <w:sz w:val="24"/>
                <w:szCs w:val="24"/>
                <w:lang w:eastAsia="zh-CN"/>
              </w:rPr>
              <w:t>4</w:t>
            </w:r>
            <w:r>
              <w:rPr>
                <w:rFonts w:ascii="仿宋" w:hAnsi="仿宋"/>
                <w:kern w:val="2"/>
                <w:sz w:val="24"/>
                <w:szCs w:val="24"/>
                <w:lang w:eastAsia="zh-CN"/>
              </w:rPr>
              <w:t>年</w:t>
            </w:r>
            <w:r>
              <w:rPr>
                <w:rFonts w:hint="eastAsia" w:ascii="仿宋" w:hAnsi="仿宋"/>
                <w:kern w:val="2"/>
                <w:sz w:val="24"/>
                <w:szCs w:val="24"/>
                <w:lang w:eastAsia="zh-CN"/>
              </w:rPr>
              <w:t>9</w:t>
            </w:r>
            <w:r>
              <w:rPr>
                <w:rFonts w:ascii="仿宋" w:hAnsi="仿宋"/>
                <w:kern w:val="2"/>
                <w:sz w:val="24"/>
                <w:szCs w:val="24"/>
                <w:lang w:eastAsia="zh-CN"/>
              </w:rPr>
              <w:t>月</w:t>
            </w:r>
          </w:p>
        </w:tc>
      </w:tr>
      <w:tr>
        <w:tblPrEx>
          <w:tblCellMar>
            <w:top w:w="0" w:type="dxa"/>
            <w:left w:w="108" w:type="dxa"/>
            <w:bottom w:w="0" w:type="dxa"/>
            <w:right w:w="108" w:type="dxa"/>
          </w:tblCellMar>
        </w:tblPrEx>
        <w:trPr>
          <w:trHeight w:val="1691"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292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2.围绕重点慢性病防治，开展形式多样的健康教育和健康促进活动。</w:t>
            </w:r>
          </w:p>
        </w:tc>
        <w:tc>
          <w:tcPr>
            <w:tcW w:w="514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辖区围绕全国肿瘤防治宣传周、世界无烟日、全国高血压日、世界卒中日、联合国糖尿病日、世界慢阻肺日等慢性病防治宣传主题，每年至少开展6次形式多样的健康教育与健康促进宣传活动。</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县疾控中心、</w:t>
            </w:r>
            <w:r>
              <w:rPr>
                <w:rFonts w:ascii="仿宋" w:hAnsi="仿宋"/>
                <w:kern w:val="2"/>
                <w:sz w:val="24"/>
                <w:szCs w:val="24"/>
                <w:lang w:eastAsia="zh-CN"/>
              </w:rPr>
              <w:t>各</w:t>
            </w:r>
            <w:r>
              <w:rPr>
                <w:rFonts w:hint="eastAsia" w:ascii="仿宋" w:hAnsi="仿宋"/>
                <w:kern w:val="2"/>
                <w:sz w:val="24"/>
                <w:szCs w:val="24"/>
                <w:lang w:eastAsia="zh-CN"/>
              </w:rPr>
              <w:t>级</w:t>
            </w:r>
            <w:r>
              <w:rPr>
                <w:rFonts w:ascii="仿宋" w:hAnsi="仿宋"/>
                <w:kern w:val="2"/>
                <w:sz w:val="24"/>
                <w:szCs w:val="24"/>
                <w:lang w:eastAsia="zh-CN"/>
              </w:rPr>
              <w:t>医疗卫生机构</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ascii="仿宋" w:hAnsi="仿宋"/>
                <w:kern w:val="2"/>
                <w:sz w:val="24"/>
                <w:szCs w:val="24"/>
                <w:lang w:eastAsia="zh-CN"/>
              </w:rPr>
              <w:t>202</w:t>
            </w:r>
            <w:r>
              <w:rPr>
                <w:rFonts w:hint="eastAsia" w:ascii="仿宋" w:hAnsi="仿宋"/>
                <w:kern w:val="2"/>
                <w:sz w:val="24"/>
                <w:szCs w:val="24"/>
                <w:lang w:eastAsia="zh-CN"/>
              </w:rPr>
              <w:t>4</w:t>
            </w:r>
            <w:r>
              <w:rPr>
                <w:rFonts w:ascii="仿宋" w:hAnsi="仿宋"/>
                <w:kern w:val="2"/>
                <w:sz w:val="24"/>
                <w:szCs w:val="24"/>
                <w:lang w:eastAsia="zh-CN"/>
              </w:rPr>
              <w:t>年</w:t>
            </w:r>
            <w:r>
              <w:rPr>
                <w:rFonts w:hint="eastAsia" w:ascii="仿宋" w:hAnsi="仿宋"/>
                <w:kern w:val="2"/>
                <w:sz w:val="24"/>
                <w:szCs w:val="24"/>
                <w:lang w:eastAsia="zh-CN"/>
              </w:rPr>
              <w:t>9</w:t>
            </w:r>
            <w:r>
              <w:rPr>
                <w:rFonts w:ascii="仿宋" w:hAnsi="仿宋"/>
                <w:kern w:val="2"/>
                <w:sz w:val="24"/>
                <w:szCs w:val="24"/>
                <w:lang w:eastAsia="zh-CN"/>
              </w:rPr>
              <w:t>月</w:t>
            </w:r>
          </w:p>
        </w:tc>
      </w:tr>
      <w:tr>
        <w:tblPrEx>
          <w:tblCellMar>
            <w:top w:w="0" w:type="dxa"/>
            <w:left w:w="108" w:type="dxa"/>
            <w:bottom w:w="0" w:type="dxa"/>
            <w:right w:w="108" w:type="dxa"/>
          </w:tblCellMar>
        </w:tblPrEx>
        <w:trPr>
          <w:trHeight w:val="341"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292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3.开展幼儿园、中小学校健康行为方式教育。</w:t>
            </w:r>
          </w:p>
        </w:tc>
        <w:tc>
          <w:tcPr>
            <w:tcW w:w="5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（1）幼儿园、中小学校开设健康教育课覆盖率达100%。</w:t>
            </w:r>
          </w:p>
          <w:p>
            <w:pPr>
              <w:widowControl/>
              <w:jc w:val="both"/>
              <w:textAlignment w:val="center"/>
              <w:rPr>
                <w:rFonts w:ascii="仿宋" w:hAnsi="仿宋"/>
                <w:sz w:val="24"/>
                <w:lang w:eastAsia="zh-CN"/>
              </w:rPr>
            </w:pPr>
            <w:r>
              <w:rPr>
                <w:rFonts w:hint="eastAsia" w:ascii="仿宋" w:hAnsi="仿宋"/>
                <w:sz w:val="24"/>
                <w:lang w:eastAsia="zh-CN"/>
              </w:rPr>
              <w:t>（2）健康教育课包括营养均衡、口腔保健、健康体重、视力保护、心理健康、生命（死亡）教育、伤害预防（溺水、烧烫伤）等内容，每学期以班级为单位，课程≥6学时。</w:t>
            </w:r>
          </w:p>
          <w:p>
            <w:pPr>
              <w:widowControl/>
              <w:jc w:val="both"/>
              <w:textAlignment w:val="center"/>
              <w:rPr>
                <w:rFonts w:ascii="仿宋" w:hAnsi="仿宋"/>
                <w:sz w:val="24"/>
                <w:lang w:eastAsia="zh-CN"/>
              </w:rPr>
            </w:pPr>
            <w:r>
              <w:rPr>
                <w:rFonts w:hint="eastAsia" w:ascii="仿宋" w:hAnsi="仿宋"/>
                <w:sz w:val="24"/>
                <w:lang w:eastAsia="zh-CN"/>
              </w:rPr>
              <w:t>（3）寄宿制中小学校或600名学生以上的非寄宿制中小学校配备专职卫生专业技术人员、600名学生以下的非寄宿制中小学校配备专兼职保健教师或卫生专业技术人员的比例达到70%。</w:t>
            </w:r>
          </w:p>
          <w:p>
            <w:pPr>
              <w:widowControl/>
              <w:jc w:val="both"/>
              <w:textAlignment w:val="center"/>
              <w:rPr>
                <w:rFonts w:ascii="仿宋" w:hAnsi="仿宋" w:eastAsia="仿宋_GB2312" w:cs="Times New Roman"/>
                <w:sz w:val="24"/>
                <w:szCs w:val="24"/>
                <w:lang w:eastAsia="zh-CN"/>
              </w:rPr>
            </w:pPr>
            <w:r>
              <w:rPr>
                <w:rFonts w:hint="eastAsia" w:ascii="仿宋" w:hAnsi="仿宋"/>
                <w:sz w:val="24"/>
                <w:lang w:eastAsia="zh-CN"/>
              </w:rPr>
              <w:t>（4）配备专兼职心理健康工作人员的中小学校比例达到80%。</w:t>
            </w:r>
          </w:p>
        </w:tc>
        <w:tc>
          <w:tcPr>
            <w:tcW w:w="1775" w:type="dxa"/>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县教体局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县卫健局</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2024年7月</w:t>
            </w:r>
          </w:p>
        </w:tc>
      </w:tr>
      <w:tr>
        <w:tblPrEx>
          <w:tblCellMar>
            <w:top w:w="0" w:type="dxa"/>
            <w:left w:w="108" w:type="dxa"/>
            <w:bottom w:w="0" w:type="dxa"/>
            <w:right w:w="108" w:type="dxa"/>
          </w:tblCellMar>
        </w:tblPrEx>
        <w:trPr>
          <w:trHeight w:val="341"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suppressAutoHyphens/>
              <w:spacing w:line="280" w:lineRule="exact"/>
              <w:jc w:val="both"/>
              <w:textAlignment w:val="center"/>
              <w:rPr>
                <w:rFonts w:ascii="仿宋" w:hAnsi="仿宋" w:eastAsia="仿宋_GB2312" w:cs="Times New Roman"/>
                <w:sz w:val="24"/>
                <w:szCs w:val="24"/>
                <w:lang w:eastAsia="zh-CN"/>
              </w:rPr>
            </w:pPr>
            <w:r>
              <w:rPr>
                <w:rFonts w:hint="eastAsia" w:ascii="仿宋" w:hAnsi="仿宋"/>
                <w:sz w:val="24"/>
                <w:lang w:eastAsia="zh-CN"/>
              </w:rPr>
              <w:t>（二）提高居民重点慢性病核心知识知晓率和居民健康素养水平。</w:t>
            </w:r>
          </w:p>
        </w:tc>
        <w:tc>
          <w:tcPr>
            <w:tcW w:w="292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1.提高居民重点慢性病核心知识知晓率。</w:t>
            </w:r>
          </w:p>
        </w:tc>
        <w:tc>
          <w:tcPr>
            <w:tcW w:w="514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仿宋" w:hAnsi="仿宋" w:eastAsia="仿宋_GB2312" w:cs="Times New Roman"/>
                <w:sz w:val="24"/>
                <w:szCs w:val="24"/>
                <w:lang w:eastAsia="zh-CN"/>
              </w:rPr>
            </w:pPr>
            <w:r>
              <w:rPr>
                <w:rFonts w:hint="eastAsia" w:ascii="仿宋" w:hAnsi="仿宋"/>
                <w:sz w:val="24"/>
                <w:lang w:eastAsia="zh-CN"/>
              </w:rPr>
              <w:t>居民重点慢性病核心知识知晓率≥70%。</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县疾控中心、</w:t>
            </w:r>
            <w:r>
              <w:rPr>
                <w:rFonts w:ascii="仿宋" w:hAnsi="仿宋"/>
                <w:kern w:val="2"/>
                <w:sz w:val="24"/>
                <w:szCs w:val="24"/>
                <w:lang w:eastAsia="zh-CN"/>
              </w:rPr>
              <w:t>各</w:t>
            </w:r>
            <w:r>
              <w:rPr>
                <w:rFonts w:hint="eastAsia" w:ascii="仿宋" w:hAnsi="仿宋"/>
                <w:kern w:val="2"/>
                <w:sz w:val="24"/>
                <w:szCs w:val="24"/>
                <w:lang w:eastAsia="zh-CN"/>
              </w:rPr>
              <w:t>级</w:t>
            </w:r>
            <w:r>
              <w:rPr>
                <w:rFonts w:ascii="仿宋" w:hAnsi="仿宋"/>
                <w:kern w:val="2"/>
                <w:sz w:val="24"/>
                <w:szCs w:val="24"/>
                <w:lang w:eastAsia="zh-CN"/>
              </w:rPr>
              <w:t>医疗卫生机构</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2024年9月</w:t>
            </w:r>
          </w:p>
        </w:tc>
      </w:tr>
      <w:tr>
        <w:tblPrEx>
          <w:tblCellMar>
            <w:top w:w="0" w:type="dxa"/>
            <w:left w:w="108" w:type="dxa"/>
            <w:bottom w:w="0" w:type="dxa"/>
            <w:right w:w="108" w:type="dxa"/>
          </w:tblCellMar>
        </w:tblPrEx>
        <w:trPr>
          <w:trHeight w:val="577"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292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2.提高居民健康素养水平。</w:t>
            </w:r>
          </w:p>
        </w:tc>
        <w:tc>
          <w:tcPr>
            <w:tcW w:w="514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仿宋" w:hAnsi="仿宋" w:eastAsia="仿宋_GB2312" w:cs="Times New Roman"/>
                <w:sz w:val="24"/>
                <w:szCs w:val="24"/>
                <w:lang w:eastAsia="zh-CN"/>
              </w:rPr>
            </w:pPr>
            <w:r>
              <w:rPr>
                <w:rFonts w:hint="eastAsia" w:ascii="仿宋" w:hAnsi="仿宋"/>
                <w:sz w:val="24"/>
                <w:lang w:eastAsia="zh-CN"/>
              </w:rPr>
              <w:t>居民健康素养水平≥25%。</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县疾控中心、</w:t>
            </w:r>
            <w:r>
              <w:rPr>
                <w:rFonts w:ascii="仿宋" w:hAnsi="仿宋"/>
                <w:kern w:val="2"/>
                <w:sz w:val="24"/>
                <w:szCs w:val="24"/>
                <w:lang w:eastAsia="zh-CN"/>
              </w:rPr>
              <w:t>各</w:t>
            </w:r>
            <w:r>
              <w:rPr>
                <w:rFonts w:hint="eastAsia" w:ascii="仿宋" w:hAnsi="仿宋"/>
                <w:kern w:val="2"/>
                <w:sz w:val="24"/>
                <w:szCs w:val="24"/>
                <w:lang w:eastAsia="zh-CN"/>
              </w:rPr>
              <w:t>级</w:t>
            </w:r>
            <w:r>
              <w:rPr>
                <w:rFonts w:ascii="仿宋" w:hAnsi="仿宋"/>
                <w:kern w:val="2"/>
                <w:sz w:val="24"/>
                <w:szCs w:val="24"/>
                <w:lang w:eastAsia="zh-CN"/>
              </w:rPr>
              <w:t>医疗卫生机构</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2024年9月</w:t>
            </w:r>
          </w:p>
        </w:tc>
      </w:tr>
      <w:tr>
        <w:tblPrEx>
          <w:tblCellMar>
            <w:top w:w="0" w:type="dxa"/>
            <w:left w:w="108" w:type="dxa"/>
            <w:bottom w:w="0" w:type="dxa"/>
            <w:right w:w="108" w:type="dxa"/>
          </w:tblCellMar>
        </w:tblPrEx>
        <w:trPr>
          <w:trHeight w:val="509"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ascii="仿宋" w:hAnsi="仿宋" w:eastAsia="仿宋_GB2312" w:cs="Times New Roman"/>
                <w:sz w:val="24"/>
                <w:szCs w:val="24"/>
                <w:lang w:eastAsia="zh-CN"/>
              </w:rPr>
            </w:pPr>
            <w:r>
              <w:rPr>
                <w:rFonts w:ascii="仿宋" w:hAnsi="仿宋"/>
                <w:sz w:val="24"/>
                <w:lang w:eastAsia="zh-CN"/>
              </w:rPr>
              <w:t>（三）发挥社会团体和群众组织在慢性病防控中的积极作用。</w:t>
            </w:r>
          </w:p>
        </w:tc>
        <w:tc>
          <w:tcPr>
            <w:tcW w:w="292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1.辖区开展群众性健身运动。</w:t>
            </w:r>
          </w:p>
        </w:tc>
        <w:tc>
          <w:tcPr>
            <w:tcW w:w="51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（1）有5个及以上的群众健身团体。</w:t>
            </w:r>
          </w:p>
          <w:p>
            <w:pPr>
              <w:widowControl/>
              <w:jc w:val="both"/>
              <w:textAlignment w:val="center"/>
              <w:rPr>
                <w:rFonts w:ascii="仿宋" w:hAnsi="仿宋" w:eastAsia="仿宋_GB2312" w:cs="仿宋_GB2312"/>
                <w:sz w:val="24"/>
                <w:lang w:eastAsia="zh-CN"/>
              </w:rPr>
            </w:pPr>
            <w:r>
              <w:rPr>
                <w:rFonts w:hint="eastAsia" w:ascii="仿宋" w:hAnsi="仿宋"/>
                <w:sz w:val="24"/>
                <w:lang w:eastAsia="zh-CN"/>
              </w:rPr>
              <w:t>（2）配有体育指导员和志愿者。</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县民政局、县教体局</w:t>
            </w:r>
          </w:p>
        </w:tc>
        <w:tc>
          <w:tcPr>
            <w:tcW w:w="16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各县级成员单位、各乡镇人民政府</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kern w:val="2"/>
                <w:sz w:val="24"/>
                <w:szCs w:val="24"/>
                <w:lang w:eastAsia="zh-CN"/>
              </w:rPr>
            </w:pPr>
            <w:r>
              <w:rPr>
                <w:rFonts w:ascii="仿宋" w:hAnsi="仿宋"/>
                <w:kern w:val="2"/>
                <w:sz w:val="24"/>
                <w:szCs w:val="24"/>
                <w:lang w:eastAsia="zh-CN"/>
              </w:rPr>
              <w:t>202</w:t>
            </w:r>
            <w:r>
              <w:rPr>
                <w:rFonts w:hint="eastAsia" w:ascii="仿宋" w:hAnsi="仿宋"/>
                <w:kern w:val="2"/>
                <w:sz w:val="24"/>
                <w:szCs w:val="24"/>
                <w:lang w:eastAsia="zh-CN"/>
              </w:rPr>
              <w:t>4</w:t>
            </w:r>
            <w:r>
              <w:rPr>
                <w:rFonts w:ascii="仿宋" w:hAnsi="仿宋"/>
                <w:kern w:val="2"/>
                <w:sz w:val="24"/>
                <w:szCs w:val="24"/>
                <w:lang w:eastAsia="zh-CN"/>
              </w:rPr>
              <w:t>年</w:t>
            </w:r>
            <w:r>
              <w:rPr>
                <w:rFonts w:hint="eastAsia" w:ascii="仿宋" w:hAnsi="仿宋"/>
                <w:kern w:val="2"/>
                <w:sz w:val="24"/>
                <w:szCs w:val="24"/>
                <w:lang w:eastAsia="zh-CN"/>
              </w:rPr>
              <w:t>7</w:t>
            </w:r>
            <w:r>
              <w:rPr>
                <w:rFonts w:ascii="仿宋" w:hAnsi="仿宋"/>
                <w:kern w:val="2"/>
                <w:sz w:val="24"/>
                <w:szCs w:val="24"/>
                <w:lang w:eastAsia="zh-CN"/>
              </w:rPr>
              <w:t>月</w:t>
            </w:r>
          </w:p>
        </w:tc>
      </w:tr>
      <w:tr>
        <w:tblPrEx>
          <w:tblCellMar>
            <w:top w:w="0" w:type="dxa"/>
            <w:left w:w="108" w:type="dxa"/>
            <w:bottom w:w="0" w:type="dxa"/>
            <w:right w:w="108" w:type="dxa"/>
          </w:tblCellMar>
        </w:tblPrEx>
        <w:trPr>
          <w:trHeight w:val="729"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Times New Roman"/>
                <w:sz w:val="24"/>
                <w:szCs w:val="24"/>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292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2.每年至少开展1次由社会团体组织和参与的集体性健身活动。</w:t>
            </w:r>
          </w:p>
        </w:tc>
        <w:tc>
          <w:tcPr>
            <w:tcW w:w="51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定期开展由社会团体组织、企事业单位承担参与并积极支持的健身活动。</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县民政局、县教体局</w:t>
            </w:r>
          </w:p>
        </w:tc>
        <w:tc>
          <w:tcPr>
            <w:tcW w:w="16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各县级成员单位、各乡镇人民政府</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kern w:val="2"/>
                <w:sz w:val="24"/>
                <w:szCs w:val="24"/>
                <w:lang w:eastAsia="zh-CN"/>
              </w:rPr>
            </w:pPr>
            <w:r>
              <w:rPr>
                <w:rFonts w:ascii="仿宋" w:hAnsi="仿宋"/>
                <w:kern w:val="2"/>
                <w:sz w:val="24"/>
                <w:szCs w:val="24"/>
                <w:lang w:eastAsia="zh-CN"/>
              </w:rPr>
              <w:t>202</w:t>
            </w:r>
            <w:r>
              <w:rPr>
                <w:rFonts w:hint="eastAsia" w:ascii="仿宋" w:hAnsi="仿宋"/>
                <w:kern w:val="2"/>
                <w:sz w:val="24"/>
                <w:szCs w:val="24"/>
                <w:lang w:eastAsia="zh-CN"/>
              </w:rPr>
              <w:t>4</w:t>
            </w:r>
            <w:r>
              <w:rPr>
                <w:rFonts w:ascii="仿宋" w:hAnsi="仿宋"/>
                <w:kern w:val="2"/>
                <w:sz w:val="24"/>
                <w:szCs w:val="24"/>
                <w:lang w:eastAsia="zh-CN"/>
              </w:rPr>
              <w:t>年</w:t>
            </w:r>
            <w:r>
              <w:rPr>
                <w:rFonts w:hint="eastAsia" w:ascii="仿宋" w:hAnsi="仿宋"/>
                <w:kern w:val="2"/>
                <w:sz w:val="24"/>
                <w:szCs w:val="24"/>
                <w:lang w:eastAsia="zh-CN"/>
              </w:rPr>
              <w:t>7</w:t>
            </w:r>
            <w:r>
              <w:rPr>
                <w:rFonts w:ascii="仿宋" w:hAnsi="仿宋"/>
                <w:kern w:val="2"/>
                <w:sz w:val="24"/>
                <w:szCs w:val="24"/>
                <w:lang w:eastAsia="zh-CN"/>
              </w:rPr>
              <w:t>月</w:t>
            </w:r>
          </w:p>
        </w:tc>
      </w:tr>
      <w:tr>
        <w:tblPrEx>
          <w:tblCellMar>
            <w:top w:w="0" w:type="dxa"/>
            <w:left w:w="108" w:type="dxa"/>
            <w:bottom w:w="0" w:type="dxa"/>
            <w:right w:w="108" w:type="dxa"/>
          </w:tblCellMar>
        </w:tblPrEx>
        <w:trPr>
          <w:trHeight w:val="728"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Times New Roman"/>
                <w:sz w:val="24"/>
                <w:szCs w:val="24"/>
              </w:rPr>
            </w:pPr>
          </w:p>
        </w:tc>
        <w:tc>
          <w:tcPr>
            <w:tcW w:w="2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3.鼓励社区慢性病患者积极参与社区自我健康管理活动。</w:t>
            </w:r>
          </w:p>
        </w:tc>
        <w:tc>
          <w:tcPr>
            <w:tcW w:w="514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有自我健康管理小组并规范开展活动的社区（村）覆盖率≥50%。</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各乡镇人民政府、县民政局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县卫健局</w:t>
            </w:r>
          </w:p>
        </w:tc>
        <w:tc>
          <w:tcPr>
            <w:tcW w:w="159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ascii="仿宋" w:hAnsi="仿宋"/>
                <w:kern w:val="2"/>
                <w:sz w:val="24"/>
                <w:szCs w:val="24"/>
                <w:lang w:eastAsia="zh-CN"/>
              </w:rPr>
              <w:t>202</w:t>
            </w:r>
            <w:r>
              <w:rPr>
                <w:rFonts w:hint="eastAsia" w:ascii="仿宋" w:hAnsi="仿宋"/>
                <w:kern w:val="2"/>
                <w:sz w:val="24"/>
                <w:szCs w:val="24"/>
                <w:lang w:eastAsia="zh-CN"/>
              </w:rPr>
              <w:t>4</w:t>
            </w:r>
            <w:r>
              <w:rPr>
                <w:rFonts w:ascii="仿宋" w:hAnsi="仿宋"/>
                <w:kern w:val="2"/>
                <w:sz w:val="24"/>
                <w:szCs w:val="24"/>
                <w:lang w:eastAsia="zh-CN"/>
              </w:rPr>
              <w:t>年</w:t>
            </w:r>
            <w:r>
              <w:rPr>
                <w:rFonts w:hint="eastAsia" w:ascii="仿宋" w:hAnsi="仿宋"/>
                <w:kern w:val="2"/>
                <w:sz w:val="24"/>
                <w:szCs w:val="24"/>
                <w:lang w:eastAsia="zh-CN"/>
              </w:rPr>
              <w:t>7</w:t>
            </w:r>
            <w:r>
              <w:rPr>
                <w:rFonts w:ascii="仿宋" w:hAnsi="仿宋"/>
                <w:kern w:val="2"/>
                <w:sz w:val="24"/>
                <w:szCs w:val="24"/>
                <w:lang w:eastAsia="zh-CN"/>
              </w:rPr>
              <w:t>月</w:t>
            </w:r>
          </w:p>
        </w:tc>
      </w:tr>
      <w:tr>
        <w:tblPrEx>
          <w:tblCellMar>
            <w:top w:w="0" w:type="dxa"/>
            <w:left w:w="108" w:type="dxa"/>
            <w:bottom w:w="0" w:type="dxa"/>
            <w:right w:w="108" w:type="dxa"/>
          </w:tblCellMar>
        </w:tblPrEx>
        <w:trPr>
          <w:trHeight w:val="341" w:hRule="atLeast"/>
        </w:trPr>
        <w:tc>
          <w:tcPr>
            <w:tcW w:w="73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suppressAutoHyphens/>
              <w:spacing w:line="280" w:lineRule="exact"/>
              <w:jc w:val="both"/>
              <w:textAlignment w:val="center"/>
              <w:rPr>
                <w:rFonts w:ascii="仿宋" w:hAnsi="仿宋"/>
                <w:sz w:val="24"/>
              </w:rPr>
            </w:pPr>
            <w:r>
              <w:rPr>
                <w:rFonts w:hint="eastAsia" w:ascii="仿宋" w:hAnsi="仿宋"/>
                <w:sz w:val="24"/>
              </w:rPr>
              <w:t>六、慢性病全程管理</w:t>
            </w:r>
          </w:p>
          <w:p>
            <w:pPr>
              <w:jc w:val="center"/>
              <w:rPr>
                <w:rFonts w:ascii="仿宋" w:hAnsi="仿宋" w:eastAsia="仿宋_GB2312" w:cs="Times New Roman"/>
                <w:sz w:val="24"/>
                <w:szCs w:val="24"/>
              </w:rPr>
            </w:pPr>
          </w:p>
        </w:tc>
        <w:tc>
          <w:tcPr>
            <w:tcW w:w="16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 w:hAnsi="仿宋" w:eastAsia="仿宋_GB2312" w:cs="Times New Roman"/>
                <w:sz w:val="24"/>
                <w:szCs w:val="24"/>
                <w:lang w:eastAsia="zh-CN"/>
              </w:rPr>
            </w:pPr>
            <w:r>
              <w:rPr>
                <w:rFonts w:hint="eastAsia" w:ascii="仿宋" w:hAnsi="仿宋"/>
                <w:sz w:val="24"/>
                <w:lang w:eastAsia="zh-CN"/>
              </w:rPr>
              <w:t>（一）规范健康体检，开展高危人群筛查与干预，加强心脑血管疾病、癌症等重大慢性病的早期发现与管理。</w:t>
            </w:r>
          </w:p>
        </w:tc>
        <w:tc>
          <w:tcPr>
            <w:tcW w:w="2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ascii="仿宋" w:hAnsi="仿宋"/>
                <w:sz w:val="24"/>
                <w:lang w:eastAsia="zh-CN"/>
              </w:rPr>
            </w:pPr>
            <w:r>
              <w:rPr>
                <w:rFonts w:ascii="仿宋" w:hAnsi="仿宋"/>
                <w:sz w:val="24"/>
                <w:lang w:eastAsia="zh-CN"/>
              </w:rPr>
              <w:t>1.开展学生、老年人等重点人群和职工定期健康体检和健康指导。</w:t>
            </w:r>
          </w:p>
        </w:tc>
        <w:tc>
          <w:tcPr>
            <w:tcW w:w="5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sz w:val="24"/>
                <w:lang w:eastAsia="zh-CN"/>
              </w:rPr>
            </w:pPr>
            <w:r>
              <w:rPr>
                <w:rFonts w:ascii="仿宋" w:hAnsi="仿宋"/>
                <w:sz w:val="24"/>
                <w:lang w:eastAsia="zh-CN"/>
              </w:rPr>
              <w:t>（1）学生健康体检率≥90%。</w:t>
            </w:r>
          </w:p>
          <w:p>
            <w:pPr>
              <w:widowControl/>
              <w:jc w:val="both"/>
              <w:textAlignment w:val="center"/>
              <w:rPr>
                <w:rFonts w:ascii="仿宋" w:hAnsi="仿宋"/>
                <w:sz w:val="24"/>
                <w:lang w:eastAsia="zh-CN"/>
              </w:rPr>
            </w:pPr>
            <w:r>
              <w:rPr>
                <w:rFonts w:ascii="仿宋" w:hAnsi="仿宋"/>
                <w:sz w:val="24"/>
                <w:lang w:eastAsia="zh-CN"/>
              </w:rPr>
              <w:t>（2）65岁及以上老年人健康体检率≥90%。</w:t>
            </w:r>
          </w:p>
          <w:p>
            <w:pPr>
              <w:widowControl/>
              <w:jc w:val="both"/>
              <w:textAlignment w:val="center"/>
              <w:rPr>
                <w:rStyle w:val="14"/>
                <w:rFonts w:hint="default" w:eastAsia="仿宋_GB2312" w:cs="Times New Roman"/>
                <w:color w:val="auto"/>
                <w:lang w:eastAsia="zh-CN" w:bidi="ar"/>
              </w:rPr>
            </w:pPr>
            <w:r>
              <w:rPr>
                <w:rFonts w:ascii="仿宋" w:hAnsi="仿宋"/>
                <w:sz w:val="24"/>
                <w:lang w:eastAsia="zh-CN"/>
              </w:rPr>
              <w:t>（3）每2年1次体检并开展健康指导的机关事业单位和员工数超过50人的企业的覆盖率≥50%。</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县教体局、县</w:t>
            </w:r>
            <w:r>
              <w:rPr>
                <w:rFonts w:ascii="仿宋" w:hAnsi="仿宋"/>
                <w:kern w:val="2"/>
                <w:sz w:val="24"/>
                <w:szCs w:val="24"/>
                <w:lang w:eastAsia="zh-CN"/>
              </w:rPr>
              <w:t>卫健局</w:t>
            </w:r>
            <w:r>
              <w:rPr>
                <w:rFonts w:hint="eastAsia" w:ascii="仿宋" w:hAnsi="仿宋"/>
                <w:kern w:val="2"/>
                <w:sz w:val="24"/>
                <w:szCs w:val="24"/>
                <w:lang w:eastAsia="zh-CN"/>
              </w:rPr>
              <w:t>、县经科局、县总工会</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kern w:val="2"/>
                <w:sz w:val="24"/>
                <w:szCs w:val="24"/>
                <w:lang w:eastAsia="zh-CN"/>
              </w:rPr>
            </w:pPr>
            <w:r>
              <w:rPr>
                <w:rFonts w:ascii="仿宋" w:hAnsi="仿宋"/>
                <w:kern w:val="2"/>
                <w:sz w:val="24"/>
                <w:szCs w:val="24"/>
                <w:lang w:eastAsia="zh-CN"/>
              </w:rPr>
              <w:t>各学校、各</w:t>
            </w:r>
            <w:r>
              <w:rPr>
                <w:rFonts w:hint="eastAsia" w:ascii="仿宋" w:hAnsi="仿宋"/>
                <w:kern w:val="2"/>
                <w:sz w:val="24"/>
                <w:szCs w:val="24"/>
                <w:lang w:eastAsia="zh-CN"/>
              </w:rPr>
              <w:t>级</w:t>
            </w:r>
            <w:r>
              <w:rPr>
                <w:rFonts w:ascii="仿宋" w:hAnsi="仿宋"/>
                <w:kern w:val="2"/>
                <w:sz w:val="24"/>
                <w:szCs w:val="24"/>
                <w:lang w:eastAsia="zh-CN"/>
              </w:rPr>
              <w:t>医疗卫生机构、</w:t>
            </w:r>
            <w:r>
              <w:rPr>
                <w:rFonts w:hint="eastAsia" w:ascii="仿宋" w:hAnsi="仿宋"/>
                <w:kern w:val="2"/>
                <w:sz w:val="24"/>
                <w:szCs w:val="24"/>
                <w:lang w:eastAsia="zh-CN"/>
              </w:rPr>
              <w:t>县级各部门单位、各乡镇人民政府</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ascii="仿宋" w:hAnsi="仿宋"/>
                <w:kern w:val="2"/>
                <w:sz w:val="24"/>
                <w:szCs w:val="24"/>
                <w:lang w:eastAsia="zh-CN"/>
              </w:rPr>
              <w:t>202</w:t>
            </w:r>
            <w:r>
              <w:rPr>
                <w:rFonts w:hint="eastAsia" w:ascii="仿宋" w:hAnsi="仿宋"/>
                <w:kern w:val="2"/>
                <w:sz w:val="24"/>
                <w:szCs w:val="24"/>
                <w:lang w:eastAsia="zh-CN"/>
              </w:rPr>
              <w:t>4</w:t>
            </w:r>
            <w:r>
              <w:rPr>
                <w:rFonts w:ascii="仿宋" w:hAnsi="仿宋"/>
                <w:kern w:val="2"/>
                <w:sz w:val="24"/>
                <w:szCs w:val="24"/>
                <w:lang w:eastAsia="zh-CN"/>
              </w:rPr>
              <w:t>年</w:t>
            </w:r>
            <w:r>
              <w:rPr>
                <w:rFonts w:hint="eastAsia" w:ascii="仿宋" w:hAnsi="仿宋"/>
                <w:kern w:val="2"/>
                <w:sz w:val="24"/>
                <w:szCs w:val="24"/>
                <w:lang w:eastAsia="zh-CN"/>
              </w:rPr>
              <w:t>7</w:t>
            </w:r>
            <w:r>
              <w:rPr>
                <w:rFonts w:ascii="仿宋" w:hAnsi="仿宋"/>
                <w:kern w:val="2"/>
                <w:sz w:val="24"/>
                <w:szCs w:val="24"/>
                <w:lang w:eastAsia="zh-CN"/>
              </w:rPr>
              <w:t>月</w:t>
            </w:r>
          </w:p>
        </w:tc>
      </w:tr>
      <w:tr>
        <w:tblPrEx>
          <w:tblCellMar>
            <w:top w:w="0" w:type="dxa"/>
            <w:left w:w="108" w:type="dxa"/>
            <w:bottom w:w="0" w:type="dxa"/>
            <w:right w:w="108" w:type="dxa"/>
          </w:tblCellMar>
        </w:tblPrEx>
        <w:trPr>
          <w:trHeight w:val="1982" w:hRule="atLeast"/>
        </w:trPr>
        <w:tc>
          <w:tcPr>
            <w:tcW w:w="7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Times New Roman"/>
                <w:sz w:val="24"/>
                <w:szCs w:val="24"/>
              </w:rPr>
            </w:pPr>
          </w:p>
        </w:tc>
        <w:tc>
          <w:tcPr>
            <w:tcW w:w="292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sz w:val="24"/>
                <w:lang w:eastAsia="zh-CN"/>
              </w:rPr>
            </w:pPr>
            <w:r>
              <w:rPr>
                <w:rFonts w:ascii="仿宋" w:hAnsi="仿宋"/>
                <w:sz w:val="24"/>
                <w:lang w:eastAsia="zh-CN"/>
              </w:rPr>
              <w:t>2.应用推广成熟的适宜技术，早期发现诊治患者，及时纳入基本公共卫生服务管理。</w:t>
            </w:r>
          </w:p>
        </w:tc>
        <w:tc>
          <w:tcPr>
            <w:tcW w:w="514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sz w:val="24"/>
                <w:lang w:eastAsia="zh-CN"/>
              </w:rPr>
            </w:pPr>
            <w:r>
              <w:rPr>
                <w:rFonts w:ascii="仿宋" w:hAnsi="仿宋"/>
                <w:sz w:val="24"/>
                <w:lang w:eastAsia="zh-CN"/>
              </w:rPr>
              <w:t>（1）各级医疗机构首诊测血压率达到100%。</w:t>
            </w:r>
          </w:p>
          <w:p>
            <w:pPr>
              <w:widowControl/>
              <w:jc w:val="both"/>
              <w:textAlignment w:val="center"/>
              <w:rPr>
                <w:rFonts w:ascii="仿宋" w:hAnsi="仿宋"/>
                <w:sz w:val="24"/>
                <w:lang w:eastAsia="zh-CN"/>
              </w:rPr>
            </w:pPr>
            <w:r>
              <w:rPr>
                <w:rFonts w:ascii="仿宋" w:hAnsi="仿宋"/>
                <w:sz w:val="24"/>
                <w:lang w:eastAsia="zh-CN"/>
              </w:rPr>
              <w:t>（2）开展心脑血管疾病、重点癌症、糖尿病、慢阻肺等重大慢性病的筛查和早期诊断。</w:t>
            </w:r>
          </w:p>
          <w:p>
            <w:pPr>
              <w:widowControl/>
              <w:jc w:val="both"/>
              <w:textAlignment w:val="center"/>
              <w:rPr>
                <w:rFonts w:ascii="仿宋" w:hAnsi="仿宋"/>
                <w:sz w:val="24"/>
                <w:lang w:eastAsia="zh-CN"/>
              </w:rPr>
            </w:pPr>
            <w:r>
              <w:rPr>
                <w:rFonts w:ascii="仿宋" w:hAnsi="仿宋"/>
                <w:sz w:val="24"/>
                <w:lang w:eastAsia="zh-CN"/>
              </w:rPr>
              <w:t>（3）在二级及以上医疗机构开展脑卒中、冠心病和重点癌症的机会性筛查。</w:t>
            </w:r>
          </w:p>
          <w:p>
            <w:pPr>
              <w:widowControl/>
              <w:jc w:val="both"/>
              <w:textAlignment w:val="center"/>
              <w:rPr>
                <w:rFonts w:ascii="仿宋" w:hAnsi="仿宋"/>
                <w:sz w:val="24"/>
                <w:lang w:eastAsia="zh-CN"/>
              </w:rPr>
            </w:pPr>
            <w:r>
              <w:rPr>
                <w:rFonts w:ascii="仿宋" w:hAnsi="仿宋"/>
                <w:sz w:val="24"/>
                <w:lang w:eastAsia="zh-CN"/>
              </w:rPr>
              <w:t>（4）具备血糖、血脂、简易肺功能测定和大便隐血检测等4种技术并提供服务的社区卫生服务中心和乡镇卫生院的覆盖率≥70%。</w:t>
            </w:r>
          </w:p>
          <w:p>
            <w:pPr>
              <w:widowControl/>
              <w:jc w:val="both"/>
              <w:textAlignment w:val="center"/>
              <w:rPr>
                <w:rStyle w:val="14"/>
                <w:rFonts w:hint="default" w:eastAsia="仿宋_GB2312" w:cs="Times New Roman"/>
                <w:color w:val="auto"/>
                <w:lang w:eastAsia="zh-CN" w:bidi="ar"/>
              </w:rPr>
            </w:pPr>
            <w:r>
              <w:rPr>
                <w:rFonts w:ascii="仿宋" w:hAnsi="仿宋"/>
                <w:sz w:val="24"/>
                <w:lang w:eastAsia="zh-CN"/>
              </w:rPr>
              <w:t>（5）提高加强个人健康档案与健康体检信息的利用，发现高危人群登记率100%；高危人群纳入健康管理率≥30%。</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kern w:val="2"/>
                <w:sz w:val="24"/>
                <w:szCs w:val="24"/>
                <w:lang w:eastAsia="zh-CN"/>
              </w:rPr>
            </w:pPr>
            <w:r>
              <w:rPr>
                <w:rFonts w:ascii="仿宋" w:hAnsi="仿宋"/>
                <w:kern w:val="2"/>
                <w:sz w:val="24"/>
                <w:szCs w:val="24"/>
                <w:lang w:eastAsia="zh-CN"/>
              </w:rPr>
              <w:t>各</w:t>
            </w:r>
            <w:r>
              <w:rPr>
                <w:rFonts w:hint="eastAsia" w:ascii="仿宋" w:hAnsi="仿宋"/>
                <w:kern w:val="2"/>
                <w:sz w:val="24"/>
                <w:szCs w:val="24"/>
                <w:lang w:eastAsia="zh-CN"/>
              </w:rPr>
              <w:t>级</w:t>
            </w:r>
            <w:r>
              <w:rPr>
                <w:rFonts w:ascii="仿宋" w:hAnsi="仿宋"/>
                <w:kern w:val="2"/>
                <w:sz w:val="24"/>
                <w:szCs w:val="24"/>
                <w:lang w:eastAsia="zh-CN"/>
              </w:rPr>
              <w:t>医疗卫生机构</w:t>
            </w:r>
          </w:p>
        </w:tc>
        <w:tc>
          <w:tcPr>
            <w:tcW w:w="159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ascii="仿宋" w:hAnsi="仿宋"/>
                <w:kern w:val="2"/>
                <w:sz w:val="24"/>
                <w:szCs w:val="24"/>
                <w:lang w:eastAsia="zh-CN"/>
              </w:rPr>
              <w:t>202</w:t>
            </w:r>
            <w:r>
              <w:rPr>
                <w:rFonts w:hint="eastAsia" w:ascii="仿宋" w:hAnsi="仿宋"/>
                <w:kern w:val="2"/>
                <w:sz w:val="24"/>
                <w:szCs w:val="24"/>
                <w:lang w:eastAsia="zh-CN"/>
              </w:rPr>
              <w:t>4</w:t>
            </w:r>
            <w:r>
              <w:rPr>
                <w:rFonts w:ascii="仿宋" w:hAnsi="仿宋"/>
                <w:kern w:val="2"/>
                <w:sz w:val="24"/>
                <w:szCs w:val="24"/>
                <w:lang w:eastAsia="zh-CN"/>
              </w:rPr>
              <w:t>年</w:t>
            </w:r>
            <w:r>
              <w:rPr>
                <w:rFonts w:hint="eastAsia" w:ascii="仿宋" w:hAnsi="仿宋"/>
                <w:kern w:val="2"/>
                <w:sz w:val="24"/>
                <w:szCs w:val="24"/>
                <w:lang w:eastAsia="zh-CN"/>
              </w:rPr>
              <w:t>7</w:t>
            </w:r>
            <w:r>
              <w:rPr>
                <w:rFonts w:ascii="仿宋" w:hAnsi="仿宋"/>
                <w:kern w:val="2"/>
                <w:sz w:val="24"/>
                <w:szCs w:val="24"/>
                <w:lang w:eastAsia="zh-CN"/>
              </w:rPr>
              <w:t>月</w:t>
            </w:r>
          </w:p>
        </w:tc>
      </w:tr>
      <w:tr>
        <w:tblPrEx>
          <w:tblCellMar>
            <w:top w:w="0" w:type="dxa"/>
            <w:left w:w="108" w:type="dxa"/>
            <w:bottom w:w="0" w:type="dxa"/>
            <w:right w:w="108" w:type="dxa"/>
          </w:tblCellMar>
        </w:tblPrEx>
        <w:trPr>
          <w:trHeight w:val="1660" w:hRule="atLeast"/>
        </w:trPr>
        <w:tc>
          <w:tcPr>
            <w:tcW w:w="7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ascii="仿宋" w:hAnsi="仿宋"/>
                <w:sz w:val="24"/>
                <w:lang w:eastAsia="zh-CN"/>
              </w:rPr>
            </w:pPr>
            <w:r>
              <w:rPr>
                <w:rFonts w:hint="eastAsia" w:ascii="仿宋" w:hAnsi="仿宋"/>
                <w:sz w:val="24"/>
                <w:lang w:eastAsia="zh-CN"/>
              </w:rPr>
              <w:t>（二）建立分级诊疗制度，推进家庭医生签约服务，开展高血压、糖尿病等重点慢性病规范化管理。</w:t>
            </w:r>
          </w:p>
        </w:tc>
        <w:tc>
          <w:tcPr>
            <w:tcW w:w="292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Times New Roman"/>
                <w:sz w:val="24"/>
                <w:szCs w:val="24"/>
                <w:lang w:eastAsia="zh-CN"/>
              </w:rPr>
            </w:pPr>
            <w:r>
              <w:rPr>
                <w:rFonts w:hint="eastAsia" w:ascii="仿宋" w:hAnsi="仿宋"/>
                <w:sz w:val="24"/>
                <w:lang w:eastAsia="zh-CN"/>
              </w:rPr>
              <w:t>1.开展基层首诊、双向转诊、急慢分治、上下联动的慢性病分级诊疗服务。</w:t>
            </w:r>
          </w:p>
        </w:tc>
        <w:tc>
          <w:tcPr>
            <w:tcW w:w="514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sz w:val="24"/>
                <w:lang w:eastAsia="zh-CN"/>
              </w:rPr>
            </w:pPr>
            <w:r>
              <w:rPr>
                <w:rFonts w:ascii="仿宋" w:hAnsi="仿宋"/>
                <w:sz w:val="24"/>
                <w:lang w:eastAsia="zh-CN"/>
              </w:rPr>
              <w:t>（1）建立分级诊疗制度。</w:t>
            </w:r>
          </w:p>
          <w:p>
            <w:pPr>
              <w:widowControl/>
              <w:jc w:val="both"/>
              <w:textAlignment w:val="center"/>
              <w:rPr>
                <w:rFonts w:ascii="仿宋" w:hAnsi="仿宋"/>
                <w:sz w:val="24"/>
                <w:lang w:eastAsia="zh-CN"/>
              </w:rPr>
            </w:pPr>
            <w:r>
              <w:rPr>
                <w:rFonts w:ascii="仿宋" w:hAnsi="仿宋"/>
                <w:sz w:val="24"/>
                <w:lang w:eastAsia="zh-CN"/>
              </w:rPr>
              <w:t>（2）落实并开展高血压与糖尿病基层首诊、双向转诊、急慢分治、上下联动的分级诊疗服务，基层医疗机构门诊量占比≥50%。</w:t>
            </w:r>
          </w:p>
          <w:p>
            <w:pPr>
              <w:widowControl/>
              <w:jc w:val="both"/>
              <w:textAlignment w:val="center"/>
              <w:rPr>
                <w:rFonts w:ascii="仿宋" w:hAnsi="仿宋" w:eastAsia="仿宋_GB2312" w:cs="Times New Roman"/>
                <w:sz w:val="24"/>
                <w:szCs w:val="24"/>
                <w:lang w:eastAsia="zh-CN"/>
              </w:rPr>
            </w:pPr>
            <w:r>
              <w:rPr>
                <w:rFonts w:ascii="仿宋" w:hAnsi="仿宋"/>
                <w:sz w:val="24"/>
                <w:lang w:eastAsia="zh-CN"/>
              </w:rPr>
              <w:t>（3）依托信息平台实现分级诊疗。</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hint="eastAsia" w:ascii="仿宋" w:hAnsi="仿宋"/>
                <w:kern w:val="2"/>
                <w:sz w:val="24"/>
                <w:szCs w:val="24"/>
                <w:lang w:eastAsia="zh-CN"/>
              </w:rPr>
              <w:t>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kern w:val="2"/>
                <w:sz w:val="24"/>
                <w:szCs w:val="24"/>
                <w:lang w:eastAsia="zh-CN"/>
              </w:rPr>
            </w:pPr>
            <w:r>
              <w:rPr>
                <w:rFonts w:ascii="仿宋" w:hAnsi="仿宋"/>
                <w:kern w:val="2"/>
                <w:sz w:val="24"/>
                <w:szCs w:val="24"/>
                <w:lang w:eastAsia="zh-CN"/>
              </w:rPr>
              <w:t>各</w:t>
            </w:r>
            <w:r>
              <w:rPr>
                <w:rFonts w:hint="eastAsia" w:ascii="仿宋" w:hAnsi="仿宋"/>
                <w:kern w:val="2"/>
                <w:sz w:val="24"/>
                <w:szCs w:val="24"/>
                <w:lang w:eastAsia="zh-CN"/>
              </w:rPr>
              <w:t>级</w:t>
            </w:r>
            <w:r>
              <w:rPr>
                <w:rFonts w:ascii="仿宋" w:hAnsi="仿宋"/>
                <w:kern w:val="2"/>
                <w:sz w:val="24"/>
                <w:szCs w:val="24"/>
                <w:lang w:eastAsia="zh-CN"/>
              </w:rPr>
              <w:t>医疗卫生机构</w:t>
            </w:r>
          </w:p>
        </w:tc>
        <w:tc>
          <w:tcPr>
            <w:tcW w:w="159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kern w:val="2"/>
                <w:sz w:val="24"/>
                <w:szCs w:val="24"/>
                <w:lang w:eastAsia="zh-CN"/>
              </w:rPr>
            </w:pPr>
            <w:r>
              <w:rPr>
                <w:rFonts w:ascii="仿宋" w:hAnsi="仿宋"/>
                <w:kern w:val="2"/>
                <w:sz w:val="24"/>
                <w:szCs w:val="24"/>
                <w:lang w:eastAsia="zh-CN"/>
              </w:rPr>
              <w:t>202</w:t>
            </w:r>
            <w:r>
              <w:rPr>
                <w:rFonts w:hint="eastAsia" w:ascii="仿宋" w:hAnsi="仿宋"/>
                <w:kern w:val="2"/>
                <w:sz w:val="24"/>
                <w:szCs w:val="24"/>
                <w:lang w:eastAsia="zh-CN"/>
              </w:rPr>
              <w:t>4</w:t>
            </w:r>
            <w:r>
              <w:rPr>
                <w:rFonts w:ascii="仿宋" w:hAnsi="仿宋"/>
                <w:kern w:val="2"/>
                <w:sz w:val="24"/>
                <w:szCs w:val="24"/>
                <w:lang w:eastAsia="zh-CN"/>
              </w:rPr>
              <w:t>年</w:t>
            </w:r>
            <w:r>
              <w:rPr>
                <w:rFonts w:hint="eastAsia" w:ascii="仿宋" w:hAnsi="仿宋"/>
                <w:kern w:val="2"/>
                <w:sz w:val="24"/>
                <w:szCs w:val="24"/>
                <w:lang w:eastAsia="zh-CN"/>
              </w:rPr>
              <w:t>7</w:t>
            </w:r>
            <w:r>
              <w:rPr>
                <w:rFonts w:ascii="仿宋" w:hAnsi="仿宋"/>
                <w:kern w:val="2"/>
                <w:sz w:val="24"/>
                <w:szCs w:val="24"/>
                <w:lang w:eastAsia="zh-CN"/>
              </w:rPr>
              <w:t>月</w:t>
            </w:r>
          </w:p>
        </w:tc>
      </w:tr>
      <w:tr>
        <w:tblPrEx>
          <w:tblCellMar>
            <w:top w:w="0" w:type="dxa"/>
            <w:left w:w="108" w:type="dxa"/>
            <w:bottom w:w="0" w:type="dxa"/>
            <w:right w:w="108" w:type="dxa"/>
          </w:tblCellMar>
        </w:tblPrEx>
        <w:trPr>
          <w:trHeight w:val="1421" w:hRule="atLeast"/>
        </w:trPr>
        <w:tc>
          <w:tcPr>
            <w:tcW w:w="7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ascii="仿宋" w:hAnsi="仿宋"/>
                <w:sz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Fonts w:hint="eastAsia" w:ascii="仿宋" w:hAnsi="仿宋"/>
                <w:sz w:val="24"/>
                <w:lang w:eastAsia="zh-CN"/>
              </w:rPr>
              <w:t>2.推进家庭医生签约服务，签约团队负责提供约定的基本医疗、公共卫生和健康管理服务。</w:t>
            </w:r>
          </w:p>
        </w:tc>
        <w:tc>
          <w:tcPr>
            <w:tcW w:w="5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（1）家庭医生签约服务覆盖率≥50%。</w:t>
            </w:r>
          </w:p>
          <w:p>
            <w:pPr>
              <w:widowControl/>
              <w:jc w:val="both"/>
              <w:textAlignment w:val="center"/>
              <w:rPr>
                <w:rFonts w:ascii="仿宋" w:hAnsi="仿宋" w:eastAsia="仿宋_GB2312" w:cs="仿宋_GB2312"/>
                <w:sz w:val="24"/>
                <w:lang w:eastAsia="zh-CN"/>
              </w:rPr>
            </w:pPr>
            <w:r>
              <w:rPr>
                <w:rFonts w:hint="eastAsia" w:ascii="仿宋" w:hAnsi="仿宋"/>
                <w:sz w:val="24"/>
                <w:lang w:eastAsia="zh-CN"/>
              </w:rPr>
              <w:t>（2）加强慢病患者的康复和护理服务，推行医疗处方和运动处方、营养处方“三处方”制度。</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rPr>
            </w:pPr>
            <w:r>
              <w:rPr>
                <w:rFonts w:hint="eastAsia" w:ascii="仿宋" w:hAnsi="仿宋"/>
                <w:sz w:val="24"/>
                <w:szCs w:val="24"/>
                <w:lang w:eastAsia="zh-CN"/>
              </w:rPr>
              <w:t>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各社区卫生服务中心、乡镇（中心）卫生院</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341" w:hRule="atLeast"/>
        </w:trPr>
        <w:tc>
          <w:tcPr>
            <w:tcW w:w="7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ascii="仿宋" w:hAnsi="仿宋"/>
                <w:sz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3.提高人群体重、腰围、血压、血糖和血脂知晓率。</w:t>
            </w:r>
          </w:p>
        </w:tc>
        <w:tc>
          <w:tcPr>
            <w:tcW w:w="5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（1）18岁及以上人群健康体重知晓率≥60%。</w:t>
            </w:r>
          </w:p>
          <w:p>
            <w:pPr>
              <w:widowControl/>
              <w:jc w:val="both"/>
              <w:textAlignment w:val="center"/>
              <w:rPr>
                <w:rFonts w:ascii="仿宋" w:hAnsi="仿宋"/>
                <w:sz w:val="24"/>
                <w:lang w:eastAsia="zh-CN"/>
              </w:rPr>
            </w:pPr>
            <w:r>
              <w:rPr>
                <w:rFonts w:hint="eastAsia" w:ascii="仿宋" w:hAnsi="仿宋"/>
                <w:sz w:val="24"/>
                <w:lang w:eastAsia="zh-CN"/>
              </w:rPr>
              <w:t>（2）18岁及以上人群正常腰围知晓率≥60%。</w:t>
            </w:r>
          </w:p>
          <w:p>
            <w:pPr>
              <w:widowControl/>
              <w:jc w:val="both"/>
              <w:textAlignment w:val="center"/>
              <w:rPr>
                <w:rFonts w:ascii="仿宋" w:hAnsi="仿宋"/>
                <w:sz w:val="24"/>
                <w:lang w:eastAsia="zh-CN"/>
              </w:rPr>
            </w:pPr>
            <w:r>
              <w:rPr>
                <w:rFonts w:hint="eastAsia" w:ascii="仿宋" w:hAnsi="仿宋"/>
                <w:sz w:val="24"/>
                <w:lang w:eastAsia="zh-CN"/>
              </w:rPr>
              <w:t>（3）18岁及以上人群正常血压知晓率≥60%。</w:t>
            </w:r>
          </w:p>
          <w:p>
            <w:pPr>
              <w:widowControl/>
              <w:jc w:val="both"/>
              <w:textAlignment w:val="center"/>
              <w:rPr>
                <w:rFonts w:ascii="仿宋" w:hAnsi="仿宋"/>
                <w:sz w:val="24"/>
                <w:lang w:eastAsia="zh-CN"/>
              </w:rPr>
            </w:pPr>
            <w:r>
              <w:rPr>
                <w:rFonts w:hint="eastAsia" w:ascii="仿宋" w:hAnsi="仿宋"/>
                <w:sz w:val="24"/>
                <w:lang w:eastAsia="zh-CN"/>
              </w:rPr>
              <w:t>（4）18岁及以上人群正常血糖知晓率≥30%。</w:t>
            </w:r>
          </w:p>
          <w:p>
            <w:pPr>
              <w:widowControl/>
              <w:jc w:val="both"/>
              <w:textAlignment w:val="center"/>
              <w:rPr>
                <w:rFonts w:ascii="仿宋" w:hAnsi="仿宋" w:eastAsia="仿宋_GB2312" w:cs="仿宋_GB2312"/>
                <w:sz w:val="24"/>
                <w:lang w:eastAsia="zh-CN"/>
              </w:rPr>
            </w:pPr>
            <w:r>
              <w:rPr>
                <w:rFonts w:hint="eastAsia" w:ascii="仿宋" w:hAnsi="仿宋"/>
                <w:sz w:val="24"/>
                <w:lang w:eastAsia="zh-CN"/>
              </w:rPr>
              <w:t>（5）18岁及以上人群正常血脂知晓率≥30%。</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rPr>
            </w:pPr>
            <w:r>
              <w:rPr>
                <w:rFonts w:hint="eastAsia" w:ascii="仿宋" w:hAnsi="仿宋"/>
                <w:sz w:val="24"/>
                <w:szCs w:val="24"/>
                <w:lang w:eastAsia="zh-CN"/>
              </w:rPr>
              <w:t>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各社区卫生服务中心、乡镇（中心）卫生院</w:t>
            </w:r>
          </w:p>
        </w:tc>
        <w:tc>
          <w:tcPr>
            <w:tcW w:w="159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341" w:hRule="atLeast"/>
        </w:trPr>
        <w:tc>
          <w:tcPr>
            <w:tcW w:w="7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ascii="仿宋" w:hAnsi="仿宋"/>
                <w:sz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4.提高人群高血压、糖尿病知晓率。</w:t>
            </w:r>
          </w:p>
        </w:tc>
        <w:tc>
          <w:tcPr>
            <w:tcW w:w="51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（1）30岁以上高血压知晓率≥60%。</w:t>
            </w:r>
          </w:p>
          <w:p>
            <w:pPr>
              <w:widowControl/>
              <w:jc w:val="both"/>
              <w:textAlignment w:val="center"/>
              <w:rPr>
                <w:rFonts w:ascii="仿宋" w:hAnsi="仿宋" w:eastAsia="仿宋_GB2312" w:cs="仿宋_GB2312"/>
                <w:sz w:val="24"/>
                <w:lang w:eastAsia="zh-CN"/>
              </w:rPr>
            </w:pPr>
            <w:r>
              <w:rPr>
                <w:rFonts w:hint="eastAsia" w:ascii="仿宋" w:hAnsi="仿宋"/>
                <w:sz w:val="24"/>
                <w:lang w:eastAsia="zh-CN"/>
              </w:rPr>
              <w:t>（2）18岁以上糖尿病知晓率≥55%。</w:t>
            </w:r>
          </w:p>
        </w:tc>
        <w:tc>
          <w:tcPr>
            <w:tcW w:w="1775" w:type="dxa"/>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仿宋" w:hAnsi="仿宋" w:eastAsia="仿宋_GB2312" w:cs="仿宋_GB2312"/>
                <w:sz w:val="24"/>
                <w:szCs w:val="24"/>
              </w:rPr>
            </w:pPr>
            <w:r>
              <w:rPr>
                <w:rFonts w:hint="eastAsia" w:ascii="仿宋" w:hAnsi="仿宋"/>
                <w:sz w:val="24"/>
                <w:szCs w:val="24"/>
                <w:lang w:eastAsia="zh-CN"/>
              </w:rPr>
              <w:t>县卫健局</w:t>
            </w:r>
          </w:p>
        </w:tc>
        <w:tc>
          <w:tcPr>
            <w:tcW w:w="166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各社区卫生服务中心、乡镇（中心）卫生院</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1139" w:hRule="atLeast"/>
        </w:trPr>
        <w:tc>
          <w:tcPr>
            <w:tcW w:w="7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ascii="仿宋" w:hAnsi="仿宋"/>
                <w:sz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5.提高高血压、糖尿病患者规范管理率。</w:t>
            </w:r>
          </w:p>
        </w:tc>
        <w:tc>
          <w:tcPr>
            <w:tcW w:w="51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（1）35岁以上高血压患者规范管理率≥70%。</w:t>
            </w:r>
          </w:p>
          <w:p>
            <w:pPr>
              <w:widowControl/>
              <w:jc w:val="both"/>
              <w:textAlignment w:val="center"/>
              <w:rPr>
                <w:rFonts w:ascii="仿宋" w:hAnsi="仿宋" w:eastAsia="仿宋_GB2312" w:cs="仿宋_GB2312"/>
                <w:sz w:val="24"/>
                <w:lang w:eastAsia="zh-CN"/>
              </w:rPr>
            </w:pPr>
            <w:r>
              <w:rPr>
                <w:rFonts w:hint="eastAsia" w:ascii="仿宋" w:hAnsi="仿宋"/>
                <w:sz w:val="24"/>
                <w:lang w:eastAsia="zh-CN"/>
              </w:rPr>
              <w:t>（2）35岁以上糖尿病患者规范管理率≥70%。</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县卫健局</w:t>
            </w:r>
          </w:p>
        </w:tc>
        <w:tc>
          <w:tcPr>
            <w:tcW w:w="166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各社区卫生服务中心、乡镇（中心）卫生院</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1388" w:hRule="atLeast"/>
        </w:trPr>
        <w:tc>
          <w:tcPr>
            <w:tcW w:w="7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Times New Roman"/>
                <w:sz w:val="24"/>
                <w:szCs w:val="24"/>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ascii="仿宋" w:hAnsi="仿宋"/>
                <w:sz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6.提高管理人群高血压、糖尿病患者的控制率。</w:t>
            </w:r>
          </w:p>
        </w:tc>
        <w:tc>
          <w:tcPr>
            <w:tcW w:w="51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（1）高血压患者血压控制率高于全省平均水平5%及以上。</w:t>
            </w:r>
          </w:p>
          <w:p>
            <w:pPr>
              <w:widowControl/>
              <w:jc w:val="both"/>
              <w:textAlignment w:val="center"/>
              <w:rPr>
                <w:rFonts w:ascii="仿宋" w:hAnsi="仿宋" w:eastAsia="仿宋_GB2312" w:cs="仿宋_GB2312"/>
                <w:sz w:val="24"/>
                <w:lang w:eastAsia="zh-CN"/>
              </w:rPr>
            </w:pPr>
            <w:r>
              <w:rPr>
                <w:rFonts w:hint="eastAsia" w:ascii="仿宋" w:hAnsi="仿宋"/>
                <w:sz w:val="24"/>
              </w:rPr>
              <w:t>（2）糖尿病患者血糖控制率高于全省平均水平5%及以上。</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县卫健局</w:t>
            </w:r>
          </w:p>
        </w:tc>
        <w:tc>
          <w:tcPr>
            <w:tcW w:w="166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各社区卫生服务中心、乡镇（中心）卫生院</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509" w:hRule="atLeast"/>
        </w:trPr>
        <w:tc>
          <w:tcPr>
            <w:tcW w:w="7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ascii="仿宋" w:hAnsi="仿宋"/>
                <w:sz w:val="24"/>
                <w:lang w:eastAsia="zh-CN"/>
              </w:rPr>
            </w:pPr>
            <w:r>
              <w:rPr>
                <w:rFonts w:ascii="仿宋" w:hAnsi="仿宋"/>
                <w:sz w:val="24"/>
                <w:lang w:eastAsia="zh-CN"/>
              </w:rPr>
              <w:t>完善区域信息平台，实现医疗卫生机构间互联互通、信息共享。</w:t>
            </w:r>
          </w:p>
          <w:p>
            <w:pPr>
              <w:jc w:val="both"/>
              <w:rPr>
                <w:rFonts w:ascii="仿宋" w:hAnsi="仿宋"/>
                <w:sz w:val="24"/>
                <w:lang w:eastAsia="zh-CN"/>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Fonts w:hint="eastAsia" w:ascii="仿宋" w:hAnsi="仿宋"/>
                <w:sz w:val="24"/>
                <w:lang w:eastAsia="zh-CN"/>
              </w:rPr>
              <w:t>1.建立区域卫生信息平台，实现公共卫生服务、诊疗信息互联互通。</w:t>
            </w:r>
          </w:p>
        </w:tc>
        <w:tc>
          <w:tcPr>
            <w:tcW w:w="51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（1）建立区域卫生健康信息平台。</w:t>
            </w:r>
          </w:p>
          <w:p>
            <w:pPr>
              <w:widowControl/>
              <w:jc w:val="both"/>
              <w:textAlignment w:val="center"/>
              <w:rPr>
                <w:rFonts w:ascii="仿宋" w:hAnsi="仿宋"/>
                <w:sz w:val="24"/>
                <w:lang w:eastAsia="zh-CN"/>
              </w:rPr>
            </w:pPr>
            <w:r>
              <w:rPr>
                <w:rFonts w:hint="eastAsia" w:ascii="仿宋" w:hAnsi="仿宋"/>
                <w:sz w:val="24"/>
                <w:lang w:eastAsia="zh-CN"/>
              </w:rPr>
              <w:t>（2）专业公共卫生机构、二级及以上医院和基层医疗卫生机构之间实现互联互通和信息共享。</w:t>
            </w:r>
          </w:p>
          <w:p>
            <w:pPr>
              <w:widowControl/>
              <w:jc w:val="both"/>
              <w:textAlignment w:val="center"/>
              <w:rPr>
                <w:rStyle w:val="14"/>
                <w:rFonts w:hint="default" w:eastAsia="仿宋_GB2312" w:cs="仿宋_GB2312"/>
                <w:color w:val="auto"/>
                <w:lang w:eastAsia="zh-CN" w:bidi="ar"/>
              </w:rPr>
            </w:pPr>
            <w:r>
              <w:rPr>
                <w:rFonts w:hint="eastAsia" w:ascii="仿宋" w:hAnsi="仿宋"/>
                <w:sz w:val="24"/>
                <w:lang w:eastAsia="zh-CN"/>
              </w:rPr>
              <w:t>（3）实现电子健康档案和电子病历的连续记录和信息共享。</w:t>
            </w:r>
          </w:p>
        </w:tc>
        <w:tc>
          <w:tcPr>
            <w:tcW w:w="177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bidi="ar"/>
              </w:rPr>
              <w:t>县医改办、县卫健局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各级医疗卫生机构</w:t>
            </w:r>
          </w:p>
        </w:tc>
        <w:tc>
          <w:tcPr>
            <w:tcW w:w="159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509" w:hRule="atLeast"/>
        </w:trPr>
        <w:tc>
          <w:tcPr>
            <w:tcW w:w="7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2.应用互联网+、健康大数据提供便捷、高效的健康管理服务。</w:t>
            </w:r>
          </w:p>
        </w:tc>
        <w:tc>
          <w:tcPr>
            <w:tcW w:w="51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（1）应用互联网+技术为签约服务的患者提供健康管理和诊疗服务。</w:t>
            </w:r>
          </w:p>
          <w:p>
            <w:pPr>
              <w:widowControl/>
              <w:jc w:val="both"/>
              <w:textAlignment w:val="center"/>
              <w:rPr>
                <w:rFonts w:ascii="仿宋" w:hAnsi="仿宋" w:eastAsia="仿宋_GB2312" w:cs="仿宋_GB2312"/>
                <w:sz w:val="24"/>
                <w:lang w:eastAsia="zh-CN"/>
              </w:rPr>
            </w:pPr>
            <w:r>
              <w:rPr>
                <w:rFonts w:hint="eastAsia" w:ascii="仿宋" w:hAnsi="仿宋"/>
                <w:sz w:val="24"/>
                <w:lang w:eastAsia="zh-CN"/>
              </w:rPr>
              <w:t>（2）应用健康大数据为签约服务的患者提供健康管理和诊疗服务。</w:t>
            </w:r>
          </w:p>
        </w:tc>
        <w:tc>
          <w:tcPr>
            <w:tcW w:w="177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lang w:eastAsia="zh-CN" w:bidi="ar"/>
              </w:rPr>
            </w:pPr>
            <w:r>
              <w:rPr>
                <w:rFonts w:hint="eastAsia" w:ascii="仿宋" w:hAnsi="仿宋"/>
                <w:sz w:val="24"/>
                <w:szCs w:val="24"/>
                <w:lang w:eastAsia="zh-CN" w:bidi="ar"/>
              </w:rPr>
              <w:t>县医改办、县卫健局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各社区卫生服务中心、乡镇（中心）卫生院</w:t>
            </w:r>
          </w:p>
        </w:tc>
        <w:tc>
          <w:tcPr>
            <w:tcW w:w="159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1504" w:hRule="atLeast"/>
        </w:trPr>
        <w:tc>
          <w:tcPr>
            <w:tcW w:w="7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ascii="仿宋" w:hAnsi="仿宋" w:eastAsia="仿宋_GB2312" w:cs="仿宋_GB2312"/>
                <w:sz w:val="24"/>
                <w:szCs w:val="24"/>
                <w:lang w:eastAsia="zh-CN"/>
              </w:rPr>
            </w:pPr>
            <w:r>
              <w:rPr>
                <w:rFonts w:hint="eastAsia" w:ascii="仿宋" w:hAnsi="仿宋"/>
                <w:sz w:val="24"/>
                <w:lang w:eastAsia="zh-CN"/>
              </w:rPr>
              <w:t>（四）中西医并重，发挥中医药在慢性病预防、保健、诊疗、康复中的作用</w:t>
            </w:r>
            <w:r>
              <w:rPr>
                <w:rStyle w:val="18"/>
                <w:color w:val="auto"/>
                <w:sz w:val="24"/>
                <w:szCs w:val="24"/>
                <w:lang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1.辖区各社区卫生服务中心（站）、乡镇卫生院、村卫生室提供非药物疗法情况。</w:t>
            </w:r>
          </w:p>
        </w:tc>
        <w:tc>
          <w:tcPr>
            <w:tcW w:w="51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（1）乡镇卫生院/社区卫生服务中心提供6类以上中医非药物疗法的比例达到100%。</w:t>
            </w:r>
          </w:p>
          <w:p>
            <w:pPr>
              <w:widowControl/>
              <w:jc w:val="both"/>
              <w:textAlignment w:val="center"/>
              <w:rPr>
                <w:rFonts w:ascii="仿宋" w:hAnsi="仿宋" w:eastAsia="仿宋_GB2312" w:cs="仿宋_GB2312"/>
                <w:sz w:val="24"/>
                <w:lang w:eastAsia="zh-CN"/>
              </w:rPr>
            </w:pPr>
            <w:r>
              <w:rPr>
                <w:rFonts w:hint="eastAsia" w:ascii="仿宋" w:hAnsi="仿宋"/>
                <w:sz w:val="24"/>
                <w:lang w:eastAsia="zh-CN"/>
              </w:rPr>
              <w:t>（2）社区卫生服务站/村卫生室提供4类以上中医非药物疗法的比例达到70%。</w:t>
            </w:r>
          </w:p>
        </w:tc>
        <w:tc>
          <w:tcPr>
            <w:tcW w:w="177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bidi="ar"/>
              </w:rPr>
              <w:t>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各社区卫生服务中心、乡镇（中心）卫生院</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1108" w:hRule="atLeast"/>
        </w:trPr>
        <w:tc>
          <w:tcPr>
            <w:tcW w:w="7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lang w:eastAsia="zh-CN"/>
              </w:rPr>
            </w:pPr>
            <w:r>
              <w:rPr>
                <w:rFonts w:hint="eastAsia" w:ascii="仿宋" w:hAnsi="仿宋"/>
                <w:sz w:val="24"/>
                <w:lang w:eastAsia="zh-CN"/>
              </w:rPr>
              <w:t>2.开展中医药养生保健知识的宣传及中医适宜技术推广。</w:t>
            </w:r>
          </w:p>
        </w:tc>
        <w:tc>
          <w:tcPr>
            <w:tcW w:w="51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（1）宣传中医药养生保健知识。</w:t>
            </w:r>
          </w:p>
          <w:p>
            <w:pPr>
              <w:widowControl/>
              <w:jc w:val="both"/>
              <w:textAlignment w:val="center"/>
              <w:rPr>
                <w:rFonts w:ascii="仿宋" w:hAnsi="仿宋"/>
                <w:sz w:val="24"/>
                <w:lang w:eastAsia="zh-CN"/>
              </w:rPr>
            </w:pPr>
            <w:r>
              <w:rPr>
                <w:rFonts w:hint="eastAsia" w:ascii="仿宋" w:hAnsi="仿宋"/>
                <w:sz w:val="24"/>
                <w:lang w:eastAsia="zh-CN"/>
              </w:rPr>
              <w:t>（2）推广使用中医防治慢性病适宜技术。</w:t>
            </w:r>
          </w:p>
          <w:p>
            <w:pPr>
              <w:widowControl/>
              <w:jc w:val="both"/>
              <w:textAlignment w:val="center"/>
              <w:rPr>
                <w:rFonts w:ascii="仿宋" w:hAnsi="仿宋" w:eastAsia="仿宋_GB2312" w:cs="仿宋_GB2312"/>
                <w:sz w:val="24"/>
                <w:lang w:eastAsia="zh-CN"/>
              </w:rPr>
            </w:pPr>
            <w:r>
              <w:rPr>
                <w:rFonts w:hint="eastAsia" w:ascii="仿宋" w:hAnsi="仿宋"/>
                <w:sz w:val="24"/>
                <w:lang w:eastAsia="zh-CN"/>
              </w:rPr>
              <w:t>（3）对65岁以上老年人提供中医药健康管理。</w:t>
            </w:r>
          </w:p>
        </w:tc>
        <w:tc>
          <w:tcPr>
            <w:tcW w:w="177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rPr>
            </w:pPr>
            <w:r>
              <w:rPr>
                <w:rFonts w:hint="eastAsia" w:ascii="仿宋" w:hAnsi="仿宋"/>
                <w:sz w:val="24"/>
                <w:szCs w:val="24"/>
                <w:lang w:eastAsia="zh-CN" w:bidi="ar"/>
              </w:rPr>
              <w:t>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各级医疗卫生机构</w:t>
            </w:r>
          </w:p>
        </w:tc>
        <w:tc>
          <w:tcPr>
            <w:tcW w:w="1597"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1929" w:hRule="atLeast"/>
        </w:trPr>
        <w:tc>
          <w:tcPr>
            <w:tcW w:w="7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ascii="仿宋" w:hAnsi="仿宋" w:eastAsia="仿宋_GB2312" w:cs="仿宋_GB2312"/>
                <w:sz w:val="24"/>
                <w:szCs w:val="24"/>
                <w:lang w:eastAsia="zh-CN"/>
              </w:rPr>
            </w:pPr>
            <w:r>
              <w:rPr>
                <w:rFonts w:hint="eastAsia" w:ascii="仿宋" w:hAnsi="仿宋"/>
                <w:sz w:val="24"/>
                <w:lang w:eastAsia="zh-CN"/>
              </w:rPr>
              <w:t>（五）做好基本医疗保险、城乡居民大病保险和医疗救助重大疾病保障的衔接。</w:t>
            </w:r>
          </w:p>
        </w:tc>
        <w:tc>
          <w:tcPr>
            <w:tcW w:w="292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both"/>
              <w:rPr>
                <w:rFonts w:ascii="仿宋" w:hAnsi="仿宋" w:eastAsia="仿宋_GB2312" w:cs="仿宋_GB2312"/>
                <w:sz w:val="24"/>
                <w:szCs w:val="24"/>
                <w:lang w:eastAsia="zh-CN"/>
              </w:rPr>
            </w:pPr>
            <w:r>
              <w:rPr>
                <w:rFonts w:hint="eastAsia" w:ascii="仿宋" w:hAnsi="仿宋"/>
                <w:sz w:val="24"/>
                <w:lang w:eastAsia="zh-CN"/>
              </w:rPr>
              <w:t>1.做好基本医疗保险、城乡居民大病保险和医疗救助重大疾病保障。</w:t>
            </w:r>
          </w:p>
        </w:tc>
        <w:tc>
          <w:tcPr>
            <w:tcW w:w="5142"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both"/>
              <w:textAlignment w:val="center"/>
              <w:rPr>
                <w:rFonts w:ascii="仿宋" w:hAnsi="仿宋"/>
                <w:sz w:val="24"/>
                <w:lang w:eastAsia="zh-CN"/>
              </w:rPr>
            </w:pPr>
            <w:r>
              <w:rPr>
                <w:rFonts w:hint="eastAsia" w:ascii="仿宋" w:hAnsi="仿宋"/>
                <w:sz w:val="24"/>
                <w:lang w:eastAsia="zh-CN"/>
              </w:rPr>
              <w:t>（1）落实基本医疗保险、大病保险和医疗救助重大疾病保障等相关政策。</w:t>
            </w:r>
          </w:p>
          <w:p>
            <w:pPr>
              <w:widowControl/>
              <w:jc w:val="both"/>
              <w:textAlignment w:val="center"/>
              <w:rPr>
                <w:rFonts w:ascii="仿宋" w:hAnsi="仿宋" w:eastAsia="仿宋_GB2312" w:cs="仿宋_GB2312"/>
                <w:sz w:val="24"/>
                <w:szCs w:val="24"/>
                <w:lang w:eastAsia="zh-CN"/>
              </w:rPr>
            </w:pPr>
            <w:r>
              <w:rPr>
                <w:rFonts w:hint="eastAsia" w:ascii="仿宋" w:hAnsi="仿宋"/>
                <w:sz w:val="24"/>
                <w:lang w:eastAsia="zh-CN"/>
              </w:rPr>
              <w:t>（2）有提高签约慢性病患者的医疗保障水平和残疾人、流动人口、低收入等人群医疗救助水平的具体措施。</w:t>
            </w:r>
          </w:p>
        </w:tc>
        <w:tc>
          <w:tcPr>
            <w:tcW w:w="177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bidi="ar"/>
              </w:rPr>
              <w:t>县医保局、县民政局、县残联、县红十字会、</w:t>
            </w:r>
            <w:r>
              <w:rPr>
                <w:rFonts w:hint="eastAsia" w:ascii="仿宋" w:hAnsi="仿宋"/>
                <w:sz w:val="24"/>
                <w:szCs w:val="24"/>
                <w:lang w:eastAsia="zh-CN"/>
              </w:rPr>
              <w:t>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各乡镇人民政府</w:t>
            </w:r>
          </w:p>
        </w:tc>
        <w:tc>
          <w:tcPr>
            <w:tcW w:w="1597"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1807" w:hRule="atLeast"/>
        </w:trPr>
        <w:tc>
          <w:tcPr>
            <w:tcW w:w="7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Times New Roman"/>
                <w:sz w:val="24"/>
                <w:szCs w:val="24"/>
              </w:rPr>
            </w:pPr>
          </w:p>
        </w:tc>
        <w:tc>
          <w:tcPr>
            <w:tcW w:w="292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ascii="仿宋" w:hAnsi="仿宋" w:eastAsia="仿宋_GB2312" w:cs="仿宋_GB2312"/>
                <w:sz w:val="24"/>
                <w:lang w:eastAsia="zh-CN"/>
              </w:rPr>
            </w:pPr>
            <w:r>
              <w:rPr>
                <w:rFonts w:hint="eastAsia" w:ascii="仿宋" w:hAnsi="仿宋"/>
                <w:sz w:val="24"/>
                <w:lang w:eastAsia="zh-CN"/>
              </w:rPr>
              <w:t>2.基层医疗卫生机构优先配备使用基本药物，根据省级医保药品报销目录，配备使用一定数量或比例的药品。</w:t>
            </w:r>
          </w:p>
        </w:tc>
        <w:tc>
          <w:tcPr>
            <w:tcW w:w="514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 w:hAnsi="仿宋"/>
                <w:sz w:val="24"/>
                <w:lang w:eastAsia="zh-CN"/>
              </w:rPr>
            </w:pPr>
            <w:r>
              <w:rPr>
                <w:rFonts w:hint="eastAsia" w:ascii="仿宋" w:hAnsi="仿宋"/>
                <w:sz w:val="24"/>
                <w:lang w:eastAsia="zh-CN"/>
              </w:rPr>
              <w:t>（1）基层医疗卫生机构按基本药物目录配置。</w:t>
            </w:r>
          </w:p>
          <w:p>
            <w:pPr>
              <w:jc w:val="both"/>
              <w:rPr>
                <w:rFonts w:ascii="仿宋" w:hAnsi="仿宋" w:eastAsia="仿宋_GB2312" w:cs="仿宋_GB2312"/>
                <w:sz w:val="24"/>
                <w:lang w:eastAsia="zh-CN"/>
              </w:rPr>
            </w:pPr>
            <w:r>
              <w:rPr>
                <w:rFonts w:hint="eastAsia" w:ascii="仿宋" w:hAnsi="仿宋"/>
                <w:sz w:val="24"/>
                <w:lang w:eastAsia="zh-CN"/>
              </w:rPr>
              <w:t>（2）按省级卫生健康主管部门规定和要求配备使用医保报销药物。</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_GB2312" w:cs="仿宋_GB2312"/>
                <w:sz w:val="24"/>
                <w:szCs w:val="24"/>
              </w:rPr>
            </w:pPr>
            <w:r>
              <w:rPr>
                <w:rFonts w:hint="eastAsia" w:ascii="仿宋" w:hAnsi="仿宋"/>
                <w:sz w:val="24"/>
                <w:szCs w:val="24"/>
                <w:lang w:eastAsia="zh-CN"/>
              </w:rPr>
              <w:t>县卫健局、县医保局</w:t>
            </w:r>
          </w:p>
        </w:tc>
        <w:tc>
          <w:tcPr>
            <w:tcW w:w="166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各社区卫生服务中心、乡镇（中心）卫生院</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1531" w:hRule="atLeast"/>
        </w:trPr>
        <w:tc>
          <w:tcPr>
            <w:tcW w:w="7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ascii="仿宋" w:hAnsi="仿宋" w:eastAsia="仿宋_GB2312" w:cs="仿宋_GB2312"/>
                <w:sz w:val="24"/>
                <w:szCs w:val="24"/>
                <w:lang w:eastAsia="zh-CN"/>
              </w:rPr>
            </w:pPr>
            <w:r>
              <w:rPr>
                <w:rFonts w:hint="eastAsia" w:ascii="仿宋" w:hAnsi="仿宋"/>
                <w:sz w:val="24"/>
                <w:lang w:eastAsia="zh-CN"/>
              </w:rPr>
              <w:t>（六）动员社会力量参与慢性病防控工作，促进医养结合。</w:t>
            </w:r>
          </w:p>
        </w:tc>
        <w:tc>
          <w:tcPr>
            <w:tcW w:w="292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ascii="仿宋" w:hAnsi="仿宋" w:eastAsia="仿宋_GB2312" w:cs="仿宋_GB2312"/>
                <w:sz w:val="24"/>
                <w:lang w:eastAsia="zh-CN"/>
              </w:rPr>
            </w:pPr>
            <w:r>
              <w:rPr>
                <w:rFonts w:hint="eastAsia" w:ascii="仿宋" w:hAnsi="仿宋"/>
                <w:sz w:val="24"/>
                <w:lang w:eastAsia="zh-CN"/>
              </w:rPr>
              <w:t>1.政府引导、市场驱动、社会力量参与，为慢性病患者提供健康管理服务。</w:t>
            </w:r>
          </w:p>
        </w:tc>
        <w:tc>
          <w:tcPr>
            <w:tcW w:w="514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 w:hAnsi="仿宋"/>
                <w:sz w:val="24"/>
                <w:lang w:eastAsia="zh-CN"/>
              </w:rPr>
            </w:pPr>
            <w:r>
              <w:rPr>
                <w:rFonts w:hint="eastAsia" w:ascii="仿宋" w:hAnsi="仿宋"/>
                <w:sz w:val="24"/>
                <w:lang w:eastAsia="zh-CN"/>
              </w:rPr>
              <w:t>（1）有效引进社会资本参与慢性病防控。</w:t>
            </w:r>
          </w:p>
          <w:p>
            <w:pPr>
              <w:jc w:val="both"/>
              <w:rPr>
                <w:rFonts w:ascii="仿宋" w:hAnsi="仿宋"/>
                <w:sz w:val="24"/>
                <w:lang w:eastAsia="zh-CN"/>
              </w:rPr>
            </w:pPr>
            <w:r>
              <w:rPr>
                <w:rFonts w:hint="eastAsia" w:ascii="仿宋" w:hAnsi="仿宋"/>
                <w:sz w:val="24"/>
                <w:lang w:eastAsia="zh-CN"/>
              </w:rPr>
              <w:t>（2）商业健康保险参与医疗救助。</w:t>
            </w:r>
          </w:p>
          <w:p>
            <w:pPr>
              <w:jc w:val="both"/>
              <w:rPr>
                <w:rFonts w:ascii="仿宋" w:hAnsi="仿宋" w:eastAsia="仿宋_GB2312" w:cs="仿宋_GB2312"/>
                <w:sz w:val="24"/>
                <w:lang w:eastAsia="zh-CN"/>
              </w:rPr>
            </w:pPr>
            <w:r>
              <w:rPr>
                <w:rFonts w:hint="eastAsia" w:ascii="仿宋" w:hAnsi="仿宋"/>
                <w:sz w:val="24"/>
                <w:lang w:eastAsia="zh-CN"/>
              </w:rPr>
              <w:t>（3）通过向社会力量购买服务的方式，为慢性病患者提供健康管理服务。</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kern w:val="2"/>
                <w:sz w:val="18"/>
                <w:szCs w:val="18"/>
                <w:lang w:eastAsia="zh-CN"/>
              </w:rPr>
            </w:pPr>
            <w:r>
              <w:rPr>
                <w:rFonts w:hint="eastAsia" w:ascii="仿宋" w:hAnsi="仿宋"/>
                <w:sz w:val="24"/>
                <w:szCs w:val="24"/>
                <w:lang w:eastAsia="zh-CN"/>
              </w:rPr>
              <w:t>县卫健局、县财政局、县人社局、县总工会</w:t>
            </w:r>
          </w:p>
        </w:tc>
        <w:tc>
          <w:tcPr>
            <w:tcW w:w="166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各县级成员单位、各乡镇人民政府</w:t>
            </w:r>
          </w:p>
        </w:tc>
        <w:tc>
          <w:tcPr>
            <w:tcW w:w="15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1669" w:hRule="atLeast"/>
        </w:trPr>
        <w:tc>
          <w:tcPr>
            <w:tcW w:w="7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rPr>
            </w:pPr>
          </w:p>
        </w:tc>
        <w:tc>
          <w:tcPr>
            <w:tcW w:w="2925" w:type="dxa"/>
            <w:tcBorders>
              <w:top w:val="single" w:color="auto" w:sz="4" w:space="0"/>
              <w:left w:val="single" w:color="auto" w:sz="4" w:space="0"/>
              <w:right w:val="single" w:color="auto" w:sz="4" w:space="0"/>
            </w:tcBorders>
            <w:shd w:val="clear" w:color="auto" w:fill="auto"/>
            <w:vAlign w:val="center"/>
          </w:tcPr>
          <w:p>
            <w:pPr>
              <w:jc w:val="both"/>
              <w:rPr>
                <w:rFonts w:ascii="仿宋" w:hAnsi="仿宋" w:eastAsia="仿宋_GB2312" w:cs="仿宋_GB2312"/>
                <w:sz w:val="24"/>
                <w:lang w:eastAsia="zh-CN"/>
              </w:rPr>
            </w:pPr>
            <w:r>
              <w:rPr>
                <w:rFonts w:hint="eastAsia" w:ascii="仿宋" w:hAnsi="仿宋"/>
                <w:sz w:val="24"/>
                <w:lang w:eastAsia="zh-CN"/>
              </w:rPr>
              <w:t>2.促进慢性病全程防治管理服务与社区居家养老和机构养老服务融合。</w:t>
            </w:r>
          </w:p>
        </w:tc>
        <w:tc>
          <w:tcPr>
            <w:tcW w:w="5142" w:type="dxa"/>
            <w:tcBorders>
              <w:top w:val="single" w:color="auto" w:sz="4" w:space="0"/>
              <w:left w:val="single" w:color="000000" w:sz="4" w:space="0"/>
              <w:bottom w:val="nil"/>
              <w:right w:val="single" w:color="000000" w:sz="4" w:space="0"/>
            </w:tcBorders>
            <w:shd w:val="clear" w:color="auto" w:fill="auto"/>
            <w:vAlign w:val="center"/>
          </w:tcPr>
          <w:p>
            <w:pPr>
              <w:jc w:val="both"/>
              <w:rPr>
                <w:rFonts w:ascii="仿宋" w:hAnsi="仿宋"/>
                <w:sz w:val="24"/>
                <w:lang w:eastAsia="zh-CN"/>
              </w:rPr>
            </w:pPr>
            <w:r>
              <w:rPr>
                <w:rFonts w:hint="eastAsia" w:ascii="仿宋" w:hAnsi="仿宋"/>
                <w:sz w:val="24"/>
                <w:lang w:eastAsia="zh-CN"/>
              </w:rPr>
              <w:t>（1）辖区内每个街道（乡镇除外）均设有为居家养老的半失能老年人提供日间托养服务的社区老年人日间照料中心。</w:t>
            </w:r>
          </w:p>
          <w:p>
            <w:pPr>
              <w:jc w:val="both"/>
              <w:rPr>
                <w:rFonts w:ascii="仿宋" w:hAnsi="仿宋"/>
                <w:sz w:val="24"/>
                <w:lang w:eastAsia="zh-CN"/>
              </w:rPr>
            </w:pPr>
            <w:r>
              <w:rPr>
                <w:rFonts w:hint="eastAsia" w:ascii="仿宋" w:hAnsi="仿宋"/>
                <w:sz w:val="24"/>
                <w:lang w:eastAsia="zh-CN"/>
              </w:rPr>
              <w:t>（2）以不同形式为入住老年人提供医疗卫生服务的养老机构比例达到100%。</w:t>
            </w:r>
          </w:p>
          <w:p>
            <w:pPr>
              <w:jc w:val="both"/>
              <w:rPr>
                <w:rFonts w:ascii="仿宋" w:hAnsi="仿宋" w:eastAsia="仿宋_GB2312" w:cs="仿宋_GB2312"/>
                <w:sz w:val="24"/>
                <w:lang w:eastAsia="zh-CN"/>
              </w:rPr>
            </w:pPr>
            <w:r>
              <w:rPr>
                <w:rFonts w:hint="eastAsia" w:ascii="仿宋" w:hAnsi="仿宋"/>
                <w:sz w:val="24"/>
                <w:lang w:eastAsia="zh-CN"/>
              </w:rPr>
              <w:t>（3）设置老年医学科的二级及以上综合性医院比例达到70%。</w:t>
            </w:r>
          </w:p>
        </w:tc>
        <w:tc>
          <w:tcPr>
            <w:tcW w:w="1775" w:type="dxa"/>
            <w:tcBorders>
              <w:top w:val="single" w:color="auto" w:sz="4" w:space="0"/>
              <w:left w:val="single" w:color="000000" w:sz="4" w:space="0"/>
              <w:bottom w:val="nil"/>
              <w:right w:val="single" w:color="000000"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各乡镇人民政府、县民政局、县卫健局</w:t>
            </w:r>
          </w:p>
        </w:tc>
        <w:tc>
          <w:tcPr>
            <w:tcW w:w="1661" w:type="dxa"/>
            <w:tcBorders>
              <w:top w:val="single" w:color="auto" w:sz="4" w:space="0"/>
              <w:left w:val="single" w:color="000000" w:sz="4" w:space="0"/>
              <w:bottom w:val="nil"/>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各级医疗卫生机构</w:t>
            </w:r>
          </w:p>
        </w:tc>
        <w:tc>
          <w:tcPr>
            <w:tcW w:w="1597" w:type="dxa"/>
            <w:tcBorders>
              <w:top w:val="single" w:color="auto" w:sz="4" w:space="0"/>
              <w:left w:val="single" w:color="000000" w:sz="4" w:space="0"/>
              <w:bottom w:val="nil"/>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90" w:hRule="atLeast"/>
        </w:trPr>
        <w:tc>
          <w:tcPr>
            <w:tcW w:w="73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rPr>
            </w:pPr>
          </w:p>
        </w:tc>
        <w:tc>
          <w:tcPr>
            <w:tcW w:w="292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 w:hAnsi="仿宋" w:eastAsia="仿宋_GB2312" w:cs="仿宋_GB2312"/>
                <w:sz w:val="24"/>
                <w:lang w:eastAsia="zh-CN"/>
              </w:rPr>
            </w:pPr>
            <w:r>
              <w:rPr>
                <w:rFonts w:hint="eastAsia" w:ascii="仿宋" w:hAnsi="仿宋"/>
                <w:sz w:val="24"/>
                <w:lang w:eastAsia="zh-CN"/>
              </w:rPr>
              <w:t>3.基层医疗卫生机构为失能失智或罹患慢性病的老年人提供上门巡诊等延伸服务。</w:t>
            </w:r>
          </w:p>
        </w:tc>
        <w:tc>
          <w:tcPr>
            <w:tcW w:w="5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仿宋" w:hAnsi="仿宋" w:eastAsia="仿宋_GB2312" w:cs="仿宋_GB2312"/>
                <w:sz w:val="24"/>
                <w:lang w:eastAsia="zh-CN"/>
              </w:rPr>
            </w:pPr>
            <w:r>
              <w:rPr>
                <w:rFonts w:hint="eastAsia" w:ascii="仿宋" w:hAnsi="仿宋"/>
                <w:sz w:val="24"/>
                <w:lang w:eastAsia="zh-CN"/>
              </w:rPr>
              <w:t>基层医疗卫生机构为失能失智或罹患慢性病的老年人提供上门巡诊、家庭病床、医疗照护、居家护理等延伸服务2项以上。</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县卫健局、县残联</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各社区卫生服务中心、乡镇（中心）卫生院</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90" w:hRule="atLeast"/>
        </w:trPr>
        <w:tc>
          <w:tcPr>
            <w:tcW w:w="735"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r>
              <w:rPr>
                <w:rFonts w:hint="eastAsia" w:ascii="仿宋" w:hAnsi="仿宋"/>
                <w:sz w:val="24"/>
                <w:lang w:eastAsia="zh-CN"/>
              </w:rPr>
              <w:t>七</w:t>
            </w:r>
            <w:r>
              <w:rPr>
                <w:rFonts w:ascii="仿宋" w:hAnsi="仿宋"/>
                <w:sz w:val="24"/>
                <w:lang w:eastAsia="zh-CN"/>
              </w:rPr>
              <w:t>、监测评估</w:t>
            </w:r>
          </w:p>
        </w:tc>
        <w:tc>
          <w:tcPr>
            <w:tcW w:w="163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ascii="仿宋" w:hAnsi="仿宋" w:eastAsia="仿宋_GB2312" w:cs="仿宋_GB2312"/>
                <w:sz w:val="24"/>
                <w:szCs w:val="24"/>
                <w:lang w:eastAsia="zh-CN"/>
              </w:rPr>
            </w:pPr>
            <w:r>
              <w:rPr>
                <w:rFonts w:hint="eastAsia" w:ascii="仿宋" w:hAnsi="仿宋"/>
                <w:sz w:val="24"/>
                <w:lang w:eastAsia="zh-CN"/>
              </w:rPr>
              <w:t>（一）开展过程质量控制和重点慢性病监测工作。</w:t>
            </w:r>
          </w:p>
        </w:tc>
        <w:tc>
          <w:tcPr>
            <w:tcW w:w="292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both"/>
              <w:rPr>
                <w:rFonts w:ascii="仿宋" w:hAnsi="仿宋" w:eastAsia="仿宋_GB2312" w:cs="仿宋_GB2312"/>
                <w:sz w:val="24"/>
                <w:lang w:eastAsia="zh-CN"/>
              </w:rPr>
            </w:pPr>
            <w:r>
              <w:rPr>
                <w:rFonts w:hint="eastAsia" w:ascii="仿宋" w:hAnsi="仿宋"/>
                <w:sz w:val="24"/>
                <w:lang w:eastAsia="zh-CN"/>
              </w:rPr>
              <w:t>1.规范开展覆盖辖区慢性病及相关危险因素监测，掌握辖区重点慢性病状况、影响因素和疾病负担。</w:t>
            </w:r>
          </w:p>
        </w:tc>
        <w:tc>
          <w:tcPr>
            <w:tcW w:w="5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仿宋" w:hAnsi="仿宋" w:eastAsia="仿宋_GB2312" w:cs="仿宋_GB2312"/>
                <w:sz w:val="24"/>
                <w:lang w:eastAsia="zh-CN"/>
              </w:rPr>
            </w:pPr>
            <w:r>
              <w:rPr>
                <w:rFonts w:hint="eastAsia" w:ascii="仿宋" w:hAnsi="仿宋"/>
                <w:sz w:val="24"/>
                <w:lang w:eastAsia="zh-CN"/>
              </w:rPr>
              <w:t>全人群的死因监测、心脑血管事件监测、肿瘤随访登记、慢阻肺监测、慢性病与营养监测、医院门急诊伤害监测等重大慢性病登记报告达到基本技术指标，向政府和有关部门提交监测报告。</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lang w:eastAsia="zh-CN"/>
              </w:rPr>
            </w:pPr>
            <w:r>
              <w:rPr>
                <w:rFonts w:hint="eastAsia" w:ascii="仿宋" w:hAnsi="仿宋"/>
                <w:sz w:val="24"/>
                <w:szCs w:val="24"/>
                <w:lang w:eastAsia="zh-CN"/>
              </w:rPr>
              <w:t>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县疾控中心、各级医疗卫生机构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90" w:hRule="atLeast"/>
        </w:trPr>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ascii="仿宋" w:hAnsi="仿宋" w:eastAsia="仿宋_GB2312" w:cs="仿宋_GB2312"/>
                <w:sz w:val="24"/>
                <w:szCs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仿宋" w:hAnsi="仿宋" w:eastAsia="仿宋_GB2312" w:cs="仿宋_GB2312"/>
                <w:sz w:val="24"/>
                <w:lang w:eastAsia="zh-CN"/>
              </w:rPr>
            </w:pPr>
            <w:r>
              <w:rPr>
                <w:rFonts w:hint="eastAsia" w:ascii="仿宋" w:hAnsi="仿宋"/>
                <w:sz w:val="24"/>
                <w:lang w:eastAsia="zh-CN"/>
              </w:rPr>
              <w:t>2.慢性病监测数据互联互通。</w:t>
            </w:r>
          </w:p>
        </w:tc>
        <w:tc>
          <w:tcPr>
            <w:tcW w:w="5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仿宋" w:hAnsi="仿宋"/>
                <w:sz w:val="24"/>
                <w:lang w:eastAsia="zh-CN"/>
              </w:rPr>
            </w:pPr>
            <w:r>
              <w:rPr>
                <w:rFonts w:hint="eastAsia" w:ascii="仿宋" w:hAnsi="仿宋"/>
                <w:sz w:val="24"/>
                <w:lang w:eastAsia="zh-CN"/>
              </w:rPr>
              <w:t>（1）利用省、市、县三级人口健康信息、医疗机构HIS系统和疾病预防控制信息管理系统，实现重点慢性病监测数据互联互通；实现慢性病监测与管理信息互联互通。</w:t>
            </w:r>
          </w:p>
          <w:p>
            <w:pPr>
              <w:jc w:val="both"/>
              <w:rPr>
                <w:rFonts w:ascii="仿宋" w:hAnsi="仿宋" w:eastAsia="仿宋_GB2312" w:cs="仿宋_GB2312"/>
                <w:sz w:val="24"/>
                <w:lang w:eastAsia="zh-CN"/>
              </w:rPr>
            </w:pPr>
            <w:r>
              <w:rPr>
                <w:rFonts w:hint="eastAsia" w:ascii="仿宋" w:hAnsi="仿宋"/>
                <w:sz w:val="24"/>
                <w:lang w:eastAsia="zh-CN"/>
              </w:rPr>
              <w:t>（2）慢性病监测数据管理利用得到省级及以上卫生行政部门认可推广。</w:t>
            </w:r>
          </w:p>
        </w:tc>
        <w:tc>
          <w:tcPr>
            <w:tcW w:w="17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_GB2312" w:cs="仿宋_GB2312"/>
                <w:sz w:val="24"/>
                <w:szCs w:val="24"/>
              </w:rPr>
            </w:pPr>
            <w:r>
              <w:rPr>
                <w:rFonts w:hint="eastAsia" w:ascii="仿宋" w:hAnsi="仿宋"/>
                <w:sz w:val="24"/>
                <w:szCs w:val="24"/>
                <w:lang w:eastAsia="zh-CN"/>
              </w:rPr>
              <w:t>县卫健局</w:t>
            </w:r>
          </w:p>
        </w:tc>
        <w:tc>
          <w:tcPr>
            <w:tcW w:w="16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_GB2312" w:cs="仿宋_GB2312"/>
                <w:sz w:val="24"/>
                <w:szCs w:val="24"/>
                <w:lang w:eastAsia="zh-CN"/>
              </w:rPr>
            </w:pPr>
            <w:r>
              <w:rPr>
                <w:rFonts w:hint="eastAsia" w:ascii="仿宋" w:hAnsi="仿宋"/>
                <w:sz w:val="24"/>
                <w:szCs w:val="24"/>
                <w:lang w:eastAsia="zh-CN"/>
              </w:rPr>
              <w:t>县疾控中心、各级医疗卫生机构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_GB2312" w:cs="仿宋_GB2312"/>
                <w:sz w:val="24"/>
                <w:szCs w:val="24"/>
              </w:rPr>
            </w:pPr>
            <w:r>
              <w:rPr>
                <w:rFonts w:hint="eastAsia" w:ascii="仿宋" w:hAnsi="仿宋"/>
                <w:sz w:val="24"/>
                <w:szCs w:val="24"/>
                <w:lang w:eastAsia="zh-CN"/>
              </w:rPr>
              <w:t>2024年7月</w:t>
            </w:r>
          </w:p>
        </w:tc>
      </w:tr>
      <w:tr>
        <w:tblPrEx>
          <w:tblCellMar>
            <w:top w:w="0" w:type="dxa"/>
            <w:left w:w="108" w:type="dxa"/>
            <w:bottom w:w="0" w:type="dxa"/>
            <w:right w:w="108" w:type="dxa"/>
          </w:tblCellMar>
        </w:tblPrEx>
        <w:trPr>
          <w:trHeight w:val="341" w:hRule="atLeast"/>
        </w:trPr>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_GB2312" w:cs="Times New Roman"/>
                <w:sz w:val="24"/>
                <w:szCs w:val="24"/>
              </w:rPr>
            </w:pPr>
          </w:p>
        </w:tc>
        <w:tc>
          <w:tcPr>
            <w:tcW w:w="1639" w:type="dxa"/>
            <w:tcBorders>
              <w:top w:val="single" w:color="auto"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sz w:val="24"/>
                <w:szCs w:val="24"/>
                <w:lang w:eastAsia="zh-CN"/>
              </w:rPr>
            </w:pPr>
            <w:r>
              <w:rPr>
                <w:rFonts w:hint="eastAsia" w:ascii="仿宋" w:hAnsi="仿宋"/>
                <w:sz w:val="24"/>
                <w:lang w:eastAsia="zh-CN"/>
              </w:rPr>
              <w:t>（二）开展慢性病防控社会因素调查。</w:t>
            </w:r>
          </w:p>
        </w:tc>
        <w:tc>
          <w:tcPr>
            <w:tcW w:w="2925" w:type="dxa"/>
            <w:tcBorders>
              <w:top w:val="single" w:color="000000" w:sz="4" w:space="0"/>
              <w:left w:val="single" w:color="000000" w:sz="4" w:space="0"/>
              <w:bottom w:val="nil"/>
              <w:right w:val="single" w:color="000000" w:sz="4" w:space="0"/>
            </w:tcBorders>
            <w:shd w:val="clear" w:color="auto" w:fill="auto"/>
            <w:vAlign w:val="center"/>
          </w:tcPr>
          <w:p>
            <w:pPr>
              <w:jc w:val="both"/>
              <w:rPr>
                <w:rFonts w:ascii="仿宋" w:hAnsi="仿宋"/>
                <w:sz w:val="24"/>
                <w:lang w:eastAsia="zh-CN"/>
              </w:rPr>
            </w:pPr>
            <w:r>
              <w:rPr>
                <w:rFonts w:hint="eastAsia" w:ascii="仿宋" w:hAnsi="仿宋"/>
                <w:sz w:val="24"/>
                <w:lang w:eastAsia="zh-CN"/>
              </w:rPr>
              <w:t>1.辖区每5年开展一次慢性病及社会影响因素状况调查。</w:t>
            </w:r>
          </w:p>
        </w:tc>
        <w:tc>
          <w:tcPr>
            <w:tcW w:w="5142" w:type="dxa"/>
            <w:tcBorders>
              <w:top w:val="single" w:color="000000" w:sz="4" w:space="0"/>
              <w:left w:val="single" w:color="000000" w:sz="4" w:space="0"/>
              <w:bottom w:val="nil"/>
              <w:right w:val="single" w:color="000000" w:sz="4" w:space="0"/>
            </w:tcBorders>
            <w:shd w:val="clear" w:color="auto" w:fill="auto"/>
            <w:vAlign w:val="center"/>
          </w:tcPr>
          <w:p>
            <w:pPr>
              <w:jc w:val="both"/>
              <w:rPr>
                <w:rFonts w:ascii="仿宋" w:hAnsi="仿宋"/>
                <w:sz w:val="24"/>
                <w:lang w:eastAsia="zh-CN"/>
              </w:rPr>
            </w:pPr>
            <w:r>
              <w:rPr>
                <w:rFonts w:hint="eastAsia" w:ascii="仿宋" w:hAnsi="仿宋"/>
                <w:sz w:val="24"/>
                <w:lang w:eastAsia="zh-CN"/>
              </w:rPr>
              <w:t>（1）规范制定慢性病及社会影响因素状况调查方案。</w:t>
            </w:r>
          </w:p>
          <w:p>
            <w:pPr>
              <w:jc w:val="both"/>
              <w:rPr>
                <w:rFonts w:ascii="仿宋" w:hAnsi="仿宋"/>
                <w:sz w:val="24"/>
                <w:lang w:eastAsia="zh-CN"/>
              </w:rPr>
            </w:pPr>
            <w:r>
              <w:rPr>
                <w:rFonts w:hint="eastAsia" w:ascii="仿宋" w:hAnsi="仿宋"/>
                <w:sz w:val="24"/>
                <w:lang w:eastAsia="zh-CN"/>
              </w:rPr>
              <w:t>（2）综合运用社会学、流行病学及管理学理论与方法开展慢性病及社会影响因素状况调查，完成调查技术报告。</w:t>
            </w:r>
          </w:p>
          <w:p>
            <w:pPr>
              <w:jc w:val="both"/>
              <w:rPr>
                <w:rFonts w:ascii="仿宋" w:hAnsi="仿宋"/>
                <w:sz w:val="24"/>
                <w:lang w:eastAsia="zh-CN"/>
              </w:rPr>
            </w:pPr>
            <w:r>
              <w:rPr>
                <w:rFonts w:hint="eastAsia" w:ascii="仿宋" w:hAnsi="仿宋"/>
                <w:sz w:val="24"/>
                <w:lang w:eastAsia="zh-CN"/>
              </w:rPr>
              <w:t>（3）技术报告信息来源权威、准确、多元、综合，报告结构完整，有背景、方法、现状与主要问题、资源分析、预期目标、主要对策与具体措施等内容。</w:t>
            </w:r>
          </w:p>
          <w:p>
            <w:pPr>
              <w:jc w:val="both"/>
              <w:rPr>
                <w:rFonts w:ascii="仿宋" w:hAnsi="仿宋"/>
                <w:sz w:val="24"/>
                <w:lang w:eastAsia="zh-CN"/>
              </w:rPr>
            </w:pPr>
            <w:r>
              <w:rPr>
                <w:rFonts w:hint="eastAsia" w:ascii="仿宋" w:hAnsi="仿宋"/>
                <w:sz w:val="24"/>
                <w:lang w:eastAsia="zh-CN"/>
              </w:rPr>
              <w:t>（4）技术报告调查结果清晰、调查依据正确、对策合乎逻辑、目标设定科学、措施设计得当。</w:t>
            </w:r>
          </w:p>
          <w:p>
            <w:pPr>
              <w:jc w:val="both"/>
              <w:rPr>
                <w:rFonts w:ascii="仿宋" w:hAnsi="仿宋"/>
                <w:sz w:val="24"/>
                <w:lang w:eastAsia="zh-CN"/>
              </w:rPr>
            </w:pPr>
            <w:r>
              <w:rPr>
                <w:rFonts w:hint="eastAsia" w:ascii="仿宋" w:hAnsi="仿宋"/>
                <w:sz w:val="24"/>
                <w:lang w:eastAsia="zh-CN"/>
              </w:rPr>
              <w:t>（5）技术报告结果用于指引、评估示范区建设及慢性病综合防控工作计划的制定。</w:t>
            </w:r>
          </w:p>
        </w:tc>
        <w:tc>
          <w:tcPr>
            <w:tcW w:w="1775" w:type="dxa"/>
            <w:tcBorders>
              <w:top w:val="single" w:color="auto" w:sz="4" w:space="0"/>
              <w:left w:val="single" w:color="000000" w:sz="4" w:space="0"/>
              <w:bottom w:val="nil"/>
              <w:right w:val="single" w:color="000000" w:sz="4" w:space="0"/>
            </w:tcBorders>
            <w:shd w:val="clear" w:color="auto" w:fill="auto"/>
            <w:vAlign w:val="center"/>
          </w:tcPr>
          <w:p>
            <w:pPr>
              <w:jc w:val="center"/>
              <w:rPr>
                <w:rFonts w:ascii="仿宋" w:hAnsi="仿宋"/>
                <w:sz w:val="24"/>
              </w:rPr>
            </w:pPr>
            <w:r>
              <w:rPr>
                <w:rFonts w:hint="eastAsia" w:ascii="仿宋" w:hAnsi="仿宋"/>
                <w:sz w:val="24"/>
                <w:lang w:eastAsia="zh-CN"/>
              </w:rPr>
              <w:t>县卫健局</w:t>
            </w:r>
          </w:p>
        </w:tc>
        <w:tc>
          <w:tcPr>
            <w:tcW w:w="1661" w:type="dxa"/>
            <w:tcBorders>
              <w:top w:val="single" w:color="auto" w:sz="4" w:space="0"/>
              <w:left w:val="single" w:color="000000" w:sz="4" w:space="0"/>
              <w:bottom w:val="nil"/>
              <w:right w:val="single" w:color="000000" w:sz="4" w:space="0"/>
            </w:tcBorders>
            <w:shd w:val="clear" w:color="auto" w:fill="auto"/>
            <w:noWrap/>
            <w:vAlign w:val="center"/>
          </w:tcPr>
          <w:p>
            <w:pPr>
              <w:jc w:val="center"/>
              <w:rPr>
                <w:rFonts w:ascii="仿宋" w:hAnsi="仿宋"/>
                <w:sz w:val="24"/>
                <w:lang w:eastAsia="zh-CN"/>
              </w:rPr>
            </w:pPr>
            <w:r>
              <w:rPr>
                <w:rFonts w:hint="eastAsia" w:ascii="仿宋" w:hAnsi="仿宋"/>
                <w:sz w:val="24"/>
                <w:lang w:eastAsia="zh-CN"/>
              </w:rPr>
              <w:t>县疾控中心、各级医疗卫生机构</w:t>
            </w:r>
          </w:p>
        </w:tc>
        <w:tc>
          <w:tcPr>
            <w:tcW w:w="1597"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sz w:val="24"/>
              </w:rPr>
            </w:pPr>
            <w:r>
              <w:rPr>
                <w:rFonts w:hint="eastAsia" w:ascii="仿宋" w:hAnsi="仿宋"/>
                <w:sz w:val="24"/>
                <w:lang w:eastAsia="zh-CN"/>
              </w:rPr>
              <w:t>2024年3月</w:t>
            </w:r>
          </w:p>
        </w:tc>
      </w:tr>
      <w:tr>
        <w:tblPrEx>
          <w:tblCellMar>
            <w:top w:w="0" w:type="dxa"/>
            <w:left w:w="108" w:type="dxa"/>
            <w:bottom w:w="0" w:type="dxa"/>
            <w:right w:w="108" w:type="dxa"/>
          </w:tblCellMar>
        </w:tblPrEx>
        <w:trPr>
          <w:trHeight w:val="1343" w:hRule="atLeast"/>
        </w:trPr>
        <w:tc>
          <w:tcPr>
            <w:tcW w:w="735"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r>
              <w:rPr>
                <w:rFonts w:hint="eastAsia" w:ascii="仿宋" w:hAnsi="仿宋"/>
                <w:sz w:val="24"/>
                <w:lang w:eastAsia="zh-CN"/>
              </w:rPr>
              <w:t>八</w:t>
            </w:r>
            <w:r>
              <w:rPr>
                <w:rFonts w:ascii="仿宋" w:hAnsi="仿宋"/>
                <w:sz w:val="24"/>
                <w:lang w:eastAsia="zh-CN"/>
              </w:rPr>
              <w:t>、创新引领</w:t>
            </w:r>
          </w:p>
        </w:tc>
        <w:tc>
          <w:tcPr>
            <w:tcW w:w="1639" w:type="dxa"/>
            <w:vMerge w:val="restart"/>
            <w:tcBorders>
              <w:top w:val="single" w:color="auto" w:sz="4" w:space="0"/>
              <w:left w:val="single" w:color="000000" w:sz="4" w:space="0"/>
              <w:right w:val="single" w:color="000000" w:sz="4" w:space="0"/>
            </w:tcBorders>
            <w:shd w:val="clear" w:color="auto" w:fill="auto"/>
            <w:vAlign w:val="center"/>
          </w:tcPr>
          <w:p>
            <w:pPr>
              <w:jc w:val="center"/>
              <w:rPr>
                <w:rFonts w:ascii="仿宋" w:hAnsi="仿宋"/>
                <w:sz w:val="24"/>
                <w:szCs w:val="24"/>
                <w:lang w:eastAsia="zh-CN"/>
              </w:rPr>
            </w:pPr>
            <w:r>
              <w:rPr>
                <w:rFonts w:hint="eastAsia" w:ascii="仿宋" w:hAnsi="仿宋"/>
                <w:sz w:val="24"/>
                <w:lang w:eastAsia="zh-CN"/>
              </w:rPr>
              <w:t>慢性病综合防控工作有特色、可复制、可推广</w:t>
            </w:r>
            <w:r>
              <w:rPr>
                <w:rStyle w:val="18"/>
                <w:color w:val="auto"/>
                <w:sz w:val="24"/>
                <w:szCs w:val="24"/>
                <w:lang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仿宋" w:hAnsi="仿宋"/>
                <w:sz w:val="24"/>
                <w:lang w:eastAsia="zh-CN"/>
              </w:rPr>
            </w:pPr>
            <w:r>
              <w:rPr>
                <w:rFonts w:hint="eastAsia" w:ascii="仿宋" w:hAnsi="仿宋"/>
                <w:sz w:val="24"/>
                <w:lang w:eastAsia="zh-CN"/>
              </w:rPr>
              <w:t>1.倡导慢性病综合防控工作与当地社会、文化等建设和公共服务、公共产品供给相结合。</w:t>
            </w:r>
          </w:p>
        </w:tc>
        <w:tc>
          <w:tcPr>
            <w:tcW w:w="5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仿宋" w:hAnsi="仿宋"/>
                <w:sz w:val="24"/>
                <w:lang w:eastAsia="zh-CN"/>
              </w:rPr>
            </w:pPr>
            <w:r>
              <w:rPr>
                <w:rFonts w:hint="eastAsia" w:ascii="仿宋" w:hAnsi="仿宋"/>
                <w:sz w:val="24"/>
                <w:lang w:eastAsia="zh-CN"/>
              </w:rPr>
              <w:t>慢性病综合防控工作与辖区社区文化建设、健康城市建设、文明创建、公共服务与公共产品等相关项目有机衔接整合，以达到1+1&gt;2的实际效果。</w:t>
            </w:r>
            <w:r>
              <w:rPr>
                <w:rFonts w:hint="eastAsia" w:ascii="仿宋" w:hAnsi="仿宋"/>
                <w:sz w:val="24"/>
              </w:rPr>
              <w:t>建立协同工作机制并有效衔接达5项。</w:t>
            </w:r>
          </w:p>
        </w:tc>
        <w:tc>
          <w:tcPr>
            <w:tcW w:w="177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sz w:val="24"/>
                <w:lang w:eastAsia="zh-CN"/>
              </w:rPr>
            </w:pPr>
            <w:r>
              <w:rPr>
                <w:rFonts w:hint="eastAsia" w:ascii="仿宋" w:hAnsi="仿宋"/>
                <w:sz w:val="24"/>
                <w:lang w:eastAsia="zh-CN"/>
              </w:rPr>
              <w:t>各县级成员单位、各乡镇人民政府</w:t>
            </w:r>
          </w:p>
        </w:tc>
        <w:tc>
          <w:tcPr>
            <w:tcW w:w="166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sz w:val="24"/>
                <w:lang w:eastAsia="zh-CN"/>
              </w:rPr>
            </w:pPr>
            <w:r>
              <w:rPr>
                <w:rFonts w:hint="eastAsia" w:ascii="仿宋" w:hAnsi="仿宋"/>
                <w:sz w:val="24"/>
                <w:lang w:eastAsia="zh-CN"/>
              </w:rPr>
              <w:t>县建设办</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sz w:val="24"/>
              </w:rPr>
            </w:pPr>
            <w:r>
              <w:rPr>
                <w:rFonts w:hint="eastAsia" w:ascii="仿宋" w:hAnsi="仿宋"/>
                <w:sz w:val="24"/>
                <w:lang w:eastAsia="zh-CN"/>
              </w:rPr>
              <w:t>2024年9月</w:t>
            </w:r>
          </w:p>
        </w:tc>
      </w:tr>
      <w:tr>
        <w:tblPrEx>
          <w:tblCellMar>
            <w:top w:w="0" w:type="dxa"/>
            <w:left w:w="108" w:type="dxa"/>
            <w:bottom w:w="0" w:type="dxa"/>
            <w:right w:w="108" w:type="dxa"/>
          </w:tblCellMar>
        </w:tblPrEx>
        <w:trPr>
          <w:trHeight w:val="341"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sz w:val="24"/>
                <w:szCs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仿宋" w:hAnsi="仿宋"/>
                <w:sz w:val="24"/>
                <w:lang w:eastAsia="zh-CN"/>
              </w:rPr>
            </w:pPr>
            <w:r>
              <w:rPr>
                <w:rFonts w:hint="eastAsia" w:ascii="仿宋" w:hAnsi="仿宋"/>
                <w:sz w:val="24"/>
                <w:lang w:eastAsia="zh-CN"/>
              </w:rPr>
              <w:t>2.总结有创新、特色案例。</w:t>
            </w:r>
          </w:p>
        </w:tc>
        <w:tc>
          <w:tcPr>
            <w:tcW w:w="5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仿宋" w:hAnsi="仿宋"/>
                <w:sz w:val="24"/>
                <w:lang w:eastAsia="zh-CN"/>
              </w:rPr>
            </w:pPr>
            <w:r>
              <w:rPr>
                <w:rFonts w:hint="eastAsia" w:ascii="仿宋" w:hAnsi="仿宋"/>
                <w:sz w:val="24"/>
                <w:lang w:eastAsia="zh-CN"/>
              </w:rPr>
              <w:t>创新特色案例达2个，案例撰写符合要求。</w:t>
            </w:r>
          </w:p>
          <w:p>
            <w:pPr>
              <w:jc w:val="both"/>
              <w:rPr>
                <w:rFonts w:ascii="仿宋" w:hAnsi="仿宋"/>
                <w:sz w:val="24"/>
                <w:lang w:eastAsia="zh-CN"/>
              </w:rPr>
            </w:pPr>
            <w:r>
              <w:rPr>
                <w:rFonts w:hint="eastAsia" w:ascii="仿宋" w:hAnsi="仿宋"/>
                <w:sz w:val="24"/>
                <w:lang w:eastAsia="zh-CN"/>
              </w:rPr>
              <w:t>案例撰写要求包括：主题鲜明突出防控重点、技术流程清晰逻辑性强、特色突出创新意识明显、易于被推广可操作性强。</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sz w:val="24"/>
                <w:lang w:eastAsia="zh-CN"/>
              </w:rPr>
            </w:pPr>
            <w:r>
              <w:rPr>
                <w:rFonts w:hint="eastAsia" w:ascii="仿宋" w:hAnsi="仿宋"/>
                <w:sz w:val="24"/>
                <w:lang w:eastAsia="zh-CN"/>
              </w:rPr>
              <w:t>各县级成员单位、各乡镇人民政府</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sz w:val="24"/>
                <w:lang w:eastAsia="zh-CN"/>
              </w:rPr>
            </w:pPr>
            <w:r>
              <w:rPr>
                <w:rFonts w:hint="eastAsia" w:ascii="仿宋" w:hAnsi="仿宋"/>
                <w:sz w:val="24"/>
                <w:lang w:eastAsia="zh-CN"/>
              </w:rPr>
              <w:t>县建设办</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sz w:val="24"/>
              </w:rPr>
            </w:pPr>
            <w:r>
              <w:rPr>
                <w:rFonts w:hint="eastAsia" w:ascii="仿宋" w:hAnsi="仿宋"/>
                <w:sz w:val="24"/>
                <w:lang w:eastAsia="zh-CN"/>
              </w:rPr>
              <w:t>2024年9月</w:t>
            </w:r>
          </w:p>
        </w:tc>
      </w:tr>
      <w:tr>
        <w:tblPrEx>
          <w:tblCellMar>
            <w:top w:w="0" w:type="dxa"/>
            <w:left w:w="108" w:type="dxa"/>
            <w:bottom w:w="0" w:type="dxa"/>
            <w:right w:w="108" w:type="dxa"/>
          </w:tblCellMar>
        </w:tblPrEx>
        <w:trPr>
          <w:trHeight w:val="1343" w:hRule="atLeast"/>
        </w:trPr>
        <w:tc>
          <w:tcPr>
            <w:tcW w:w="73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_GB2312" w:cs="Times New Roman"/>
                <w:sz w:val="24"/>
                <w:szCs w:val="24"/>
              </w:rPr>
            </w:pPr>
          </w:p>
        </w:tc>
        <w:tc>
          <w:tcPr>
            <w:tcW w:w="1639"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ascii="仿宋" w:hAnsi="仿宋"/>
                <w:sz w:val="24"/>
                <w:szCs w:val="24"/>
              </w:rPr>
            </w:pPr>
          </w:p>
        </w:tc>
        <w:tc>
          <w:tcPr>
            <w:tcW w:w="292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both"/>
              <w:rPr>
                <w:rFonts w:ascii="仿宋" w:hAnsi="仿宋"/>
                <w:sz w:val="24"/>
                <w:lang w:eastAsia="zh-CN"/>
              </w:rPr>
            </w:pPr>
            <w:r>
              <w:rPr>
                <w:rFonts w:hint="eastAsia" w:ascii="仿宋" w:hAnsi="仿宋"/>
                <w:sz w:val="24"/>
                <w:lang w:eastAsia="zh-CN"/>
              </w:rPr>
              <w:t>3.示范区建设成功经验起到示范引领作用。</w:t>
            </w:r>
          </w:p>
        </w:tc>
        <w:tc>
          <w:tcPr>
            <w:tcW w:w="5142"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both"/>
              <w:rPr>
                <w:rFonts w:ascii="仿宋" w:hAnsi="仿宋"/>
                <w:sz w:val="24"/>
                <w:lang w:eastAsia="zh-CN"/>
              </w:rPr>
            </w:pPr>
            <w:r>
              <w:rPr>
                <w:rFonts w:hint="eastAsia" w:ascii="仿宋" w:hAnsi="仿宋"/>
                <w:sz w:val="24"/>
                <w:lang w:eastAsia="zh-CN"/>
              </w:rPr>
              <w:t>（1）示范区建设成功经验在本辖区得到有效推广应用2项及以上。</w:t>
            </w:r>
          </w:p>
          <w:p>
            <w:pPr>
              <w:jc w:val="both"/>
              <w:rPr>
                <w:rFonts w:ascii="仿宋" w:hAnsi="仿宋"/>
                <w:sz w:val="24"/>
                <w:lang w:eastAsia="zh-CN"/>
              </w:rPr>
            </w:pPr>
            <w:r>
              <w:rPr>
                <w:rFonts w:hint="eastAsia" w:ascii="仿宋" w:hAnsi="仿宋"/>
                <w:sz w:val="24"/>
                <w:lang w:eastAsia="zh-CN"/>
              </w:rPr>
              <w:t>（2）示范区建设成功经验在辖区外得到有效推广应用2项及以上。</w:t>
            </w:r>
          </w:p>
        </w:tc>
        <w:tc>
          <w:tcPr>
            <w:tcW w:w="177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 w:hAnsi="仿宋"/>
                <w:sz w:val="24"/>
                <w:lang w:eastAsia="zh-CN"/>
              </w:rPr>
            </w:pPr>
            <w:r>
              <w:rPr>
                <w:rFonts w:hint="eastAsia" w:ascii="仿宋" w:hAnsi="仿宋"/>
                <w:sz w:val="24"/>
                <w:lang w:eastAsia="zh-CN"/>
              </w:rPr>
              <w:t>各县级成员单位、各乡镇人民政府</w:t>
            </w:r>
          </w:p>
        </w:tc>
        <w:tc>
          <w:tcPr>
            <w:tcW w:w="166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sz w:val="24"/>
                <w:lang w:eastAsia="zh-CN"/>
              </w:rPr>
            </w:pPr>
            <w:r>
              <w:rPr>
                <w:rFonts w:hint="eastAsia" w:ascii="仿宋" w:hAnsi="仿宋"/>
                <w:sz w:val="24"/>
                <w:lang w:eastAsia="zh-CN"/>
              </w:rPr>
              <w:t>县建设办</w:t>
            </w:r>
          </w:p>
        </w:tc>
        <w:tc>
          <w:tcPr>
            <w:tcW w:w="159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 w:hAnsi="仿宋"/>
                <w:sz w:val="24"/>
              </w:rPr>
            </w:pPr>
            <w:r>
              <w:rPr>
                <w:rFonts w:hint="eastAsia" w:ascii="仿宋" w:hAnsi="仿宋"/>
                <w:sz w:val="24"/>
                <w:lang w:eastAsia="zh-CN"/>
              </w:rPr>
              <w:t>2024年9月</w:t>
            </w:r>
          </w:p>
        </w:tc>
      </w:tr>
    </w:tbl>
    <w:p>
      <w:pPr>
        <w:spacing w:line="320" w:lineRule="exact"/>
        <w:ind w:firstLine="7038" w:firstLineChars="2550"/>
        <w:rPr>
          <w:rFonts w:hint="eastAsia" w:ascii="仿宋_GB2312" w:eastAsia="仿宋_GB2312"/>
          <w:sz w:val="28"/>
          <w:szCs w:val="28"/>
          <w:lang w:eastAsia="zh-CN"/>
        </w:rPr>
      </w:pPr>
    </w:p>
    <w:sectPr>
      <w:footerReference r:id="rId3" w:type="default"/>
      <w:pgSz w:w="16838" w:h="11906" w:orient="landscape"/>
      <w:pgMar w:top="1587" w:right="2098" w:bottom="1361" w:left="1361" w:header="1587" w:footer="1587"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rawingGridHorizontalSpacing w:val="158"/>
  <w:drawingGridVerticalSpacing w:val="29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MWZlY2MxZmE2MTIyODI1NDkyZjdlMTc4NWMxYTEifQ=="/>
    <w:docVar w:name="KGWebUrl" w:val="http://222.213.124.212:8391/seeyon/officeservlet"/>
  </w:docVars>
  <w:rsids>
    <w:rsidRoot w:val="6BCF3EF1"/>
    <w:rsid w:val="000822FA"/>
    <w:rsid w:val="001D4206"/>
    <w:rsid w:val="003F2954"/>
    <w:rsid w:val="00403264"/>
    <w:rsid w:val="005311EB"/>
    <w:rsid w:val="0089529E"/>
    <w:rsid w:val="008F3593"/>
    <w:rsid w:val="00B52690"/>
    <w:rsid w:val="00BE1545"/>
    <w:rsid w:val="00C56800"/>
    <w:rsid w:val="00C6664C"/>
    <w:rsid w:val="00D72F73"/>
    <w:rsid w:val="01317F69"/>
    <w:rsid w:val="01423F24"/>
    <w:rsid w:val="01453A14"/>
    <w:rsid w:val="014F2631"/>
    <w:rsid w:val="01A1036A"/>
    <w:rsid w:val="024F656F"/>
    <w:rsid w:val="02783976"/>
    <w:rsid w:val="02E903CF"/>
    <w:rsid w:val="02EE3C38"/>
    <w:rsid w:val="02F4124E"/>
    <w:rsid w:val="039667A9"/>
    <w:rsid w:val="03991DF6"/>
    <w:rsid w:val="03B662AC"/>
    <w:rsid w:val="03C84489"/>
    <w:rsid w:val="048028BE"/>
    <w:rsid w:val="049525BD"/>
    <w:rsid w:val="04B27C71"/>
    <w:rsid w:val="051200B1"/>
    <w:rsid w:val="05402104"/>
    <w:rsid w:val="056B1570"/>
    <w:rsid w:val="05706B86"/>
    <w:rsid w:val="05F45A09"/>
    <w:rsid w:val="05FB28F4"/>
    <w:rsid w:val="06071298"/>
    <w:rsid w:val="062D6D97"/>
    <w:rsid w:val="06406A6F"/>
    <w:rsid w:val="065E2E82"/>
    <w:rsid w:val="06BE49B5"/>
    <w:rsid w:val="071D689A"/>
    <w:rsid w:val="07230354"/>
    <w:rsid w:val="076B1CFB"/>
    <w:rsid w:val="07D77390"/>
    <w:rsid w:val="07E61381"/>
    <w:rsid w:val="07FC0BA5"/>
    <w:rsid w:val="080A2C65"/>
    <w:rsid w:val="08255F9E"/>
    <w:rsid w:val="08293DDB"/>
    <w:rsid w:val="08365E65"/>
    <w:rsid w:val="085140B5"/>
    <w:rsid w:val="096D58B6"/>
    <w:rsid w:val="097C01EF"/>
    <w:rsid w:val="098A46BA"/>
    <w:rsid w:val="098F7F23"/>
    <w:rsid w:val="099217C1"/>
    <w:rsid w:val="09AD2157"/>
    <w:rsid w:val="0A21031C"/>
    <w:rsid w:val="0A287A2F"/>
    <w:rsid w:val="0A422443"/>
    <w:rsid w:val="0A5A1DC7"/>
    <w:rsid w:val="0A8E01DA"/>
    <w:rsid w:val="0A90021D"/>
    <w:rsid w:val="0AA23C86"/>
    <w:rsid w:val="0ABF5171"/>
    <w:rsid w:val="0ADB0F46"/>
    <w:rsid w:val="0AE918B4"/>
    <w:rsid w:val="0B111932"/>
    <w:rsid w:val="0B48482D"/>
    <w:rsid w:val="0B492353"/>
    <w:rsid w:val="0B4E7969"/>
    <w:rsid w:val="0B776EC0"/>
    <w:rsid w:val="0B995CAC"/>
    <w:rsid w:val="0BDF6813"/>
    <w:rsid w:val="0BE36304"/>
    <w:rsid w:val="0C321039"/>
    <w:rsid w:val="0C915161"/>
    <w:rsid w:val="0C9870EE"/>
    <w:rsid w:val="0CC020E1"/>
    <w:rsid w:val="0CE02843"/>
    <w:rsid w:val="0CE40585"/>
    <w:rsid w:val="0D1B1ACD"/>
    <w:rsid w:val="0D1F15BD"/>
    <w:rsid w:val="0D3F57BC"/>
    <w:rsid w:val="0D49488C"/>
    <w:rsid w:val="0DB02915"/>
    <w:rsid w:val="0DBC1618"/>
    <w:rsid w:val="0DCB704F"/>
    <w:rsid w:val="0DD04666"/>
    <w:rsid w:val="0DFA16E3"/>
    <w:rsid w:val="0E417312"/>
    <w:rsid w:val="0E4D215A"/>
    <w:rsid w:val="0E5B5B67"/>
    <w:rsid w:val="0E5E4367"/>
    <w:rsid w:val="0E772D33"/>
    <w:rsid w:val="0E9F78CD"/>
    <w:rsid w:val="0EBB5316"/>
    <w:rsid w:val="0EBC2BF7"/>
    <w:rsid w:val="0EC00B7E"/>
    <w:rsid w:val="0EC51CF1"/>
    <w:rsid w:val="0EF924C7"/>
    <w:rsid w:val="0F264E85"/>
    <w:rsid w:val="0F3B6457"/>
    <w:rsid w:val="0F4A3109"/>
    <w:rsid w:val="0F69347E"/>
    <w:rsid w:val="0F96572F"/>
    <w:rsid w:val="0FA97864"/>
    <w:rsid w:val="0FB87AA7"/>
    <w:rsid w:val="0FCD3553"/>
    <w:rsid w:val="0FDC5544"/>
    <w:rsid w:val="0FE64614"/>
    <w:rsid w:val="0FF509EA"/>
    <w:rsid w:val="102B0279"/>
    <w:rsid w:val="104906FF"/>
    <w:rsid w:val="109158BE"/>
    <w:rsid w:val="10961B97"/>
    <w:rsid w:val="10AD6EE0"/>
    <w:rsid w:val="10F1501F"/>
    <w:rsid w:val="110B3874"/>
    <w:rsid w:val="1111121D"/>
    <w:rsid w:val="11246B06"/>
    <w:rsid w:val="112D25C7"/>
    <w:rsid w:val="11D02E86"/>
    <w:rsid w:val="11F748B7"/>
    <w:rsid w:val="1292638E"/>
    <w:rsid w:val="12BE3627"/>
    <w:rsid w:val="12DE15D3"/>
    <w:rsid w:val="12F47048"/>
    <w:rsid w:val="131119A8"/>
    <w:rsid w:val="13477178"/>
    <w:rsid w:val="134C29E0"/>
    <w:rsid w:val="13977163"/>
    <w:rsid w:val="13A0476E"/>
    <w:rsid w:val="13D529D6"/>
    <w:rsid w:val="13E93BC1"/>
    <w:rsid w:val="14037290"/>
    <w:rsid w:val="14123C2A"/>
    <w:rsid w:val="1424395D"/>
    <w:rsid w:val="142A02EC"/>
    <w:rsid w:val="142D60AA"/>
    <w:rsid w:val="144114C7"/>
    <w:rsid w:val="145A2EDB"/>
    <w:rsid w:val="145F04F1"/>
    <w:rsid w:val="147A17CF"/>
    <w:rsid w:val="148B523E"/>
    <w:rsid w:val="14A910E0"/>
    <w:rsid w:val="14AB3737"/>
    <w:rsid w:val="14B26AA0"/>
    <w:rsid w:val="150978C9"/>
    <w:rsid w:val="151B08BC"/>
    <w:rsid w:val="155F468B"/>
    <w:rsid w:val="15714980"/>
    <w:rsid w:val="15807C55"/>
    <w:rsid w:val="1591355D"/>
    <w:rsid w:val="15C40F54"/>
    <w:rsid w:val="15C63ED2"/>
    <w:rsid w:val="15CE592F"/>
    <w:rsid w:val="15F2239C"/>
    <w:rsid w:val="160A26DF"/>
    <w:rsid w:val="167427AE"/>
    <w:rsid w:val="17123F41"/>
    <w:rsid w:val="175B7696"/>
    <w:rsid w:val="178169D1"/>
    <w:rsid w:val="17BB1EE3"/>
    <w:rsid w:val="17CF1E32"/>
    <w:rsid w:val="17D830FA"/>
    <w:rsid w:val="17EF38D2"/>
    <w:rsid w:val="1800023D"/>
    <w:rsid w:val="180715CC"/>
    <w:rsid w:val="18187335"/>
    <w:rsid w:val="186407CC"/>
    <w:rsid w:val="186E2A99"/>
    <w:rsid w:val="188666CB"/>
    <w:rsid w:val="189D735F"/>
    <w:rsid w:val="18A60DE5"/>
    <w:rsid w:val="18A706B9"/>
    <w:rsid w:val="18AB63FB"/>
    <w:rsid w:val="19124904"/>
    <w:rsid w:val="192F4936"/>
    <w:rsid w:val="194303E2"/>
    <w:rsid w:val="19720CC7"/>
    <w:rsid w:val="198A7DBF"/>
    <w:rsid w:val="19AF1F1B"/>
    <w:rsid w:val="19B17A41"/>
    <w:rsid w:val="19BE049D"/>
    <w:rsid w:val="19C154BB"/>
    <w:rsid w:val="1A345F7C"/>
    <w:rsid w:val="1A587EBD"/>
    <w:rsid w:val="1A98650B"/>
    <w:rsid w:val="1AF1477C"/>
    <w:rsid w:val="1B040045"/>
    <w:rsid w:val="1B063DBD"/>
    <w:rsid w:val="1B36008B"/>
    <w:rsid w:val="1B3A75C2"/>
    <w:rsid w:val="1B9B614A"/>
    <w:rsid w:val="1C073948"/>
    <w:rsid w:val="1C145FF6"/>
    <w:rsid w:val="1C1B3898"/>
    <w:rsid w:val="1C3358A8"/>
    <w:rsid w:val="1CA55340"/>
    <w:rsid w:val="1CB3587E"/>
    <w:rsid w:val="1CC25AC1"/>
    <w:rsid w:val="1D057ED5"/>
    <w:rsid w:val="1D085BCA"/>
    <w:rsid w:val="1D0B1216"/>
    <w:rsid w:val="1D255BF3"/>
    <w:rsid w:val="1DB418AE"/>
    <w:rsid w:val="1DB55626"/>
    <w:rsid w:val="1DC53ABB"/>
    <w:rsid w:val="1E0617B3"/>
    <w:rsid w:val="1E3B5B2B"/>
    <w:rsid w:val="1E5B441F"/>
    <w:rsid w:val="1E676920"/>
    <w:rsid w:val="1EA2204E"/>
    <w:rsid w:val="1EA57449"/>
    <w:rsid w:val="1EB93DAD"/>
    <w:rsid w:val="1EC51899"/>
    <w:rsid w:val="1F4B7FF0"/>
    <w:rsid w:val="1F5E0DD6"/>
    <w:rsid w:val="1F5E5F75"/>
    <w:rsid w:val="1F813A12"/>
    <w:rsid w:val="1F8A4FBC"/>
    <w:rsid w:val="1F966B28"/>
    <w:rsid w:val="1FC17307"/>
    <w:rsid w:val="1FE04BDC"/>
    <w:rsid w:val="203D7F9F"/>
    <w:rsid w:val="20E029BA"/>
    <w:rsid w:val="21050673"/>
    <w:rsid w:val="210C37AF"/>
    <w:rsid w:val="21525AB7"/>
    <w:rsid w:val="2159000E"/>
    <w:rsid w:val="21817CF9"/>
    <w:rsid w:val="21837F15"/>
    <w:rsid w:val="21C4408A"/>
    <w:rsid w:val="21C44C50"/>
    <w:rsid w:val="22140793"/>
    <w:rsid w:val="22B10AB2"/>
    <w:rsid w:val="22B8599C"/>
    <w:rsid w:val="22D64075"/>
    <w:rsid w:val="22E22A19"/>
    <w:rsid w:val="22E460BA"/>
    <w:rsid w:val="22FD7853"/>
    <w:rsid w:val="2322550C"/>
    <w:rsid w:val="233400A0"/>
    <w:rsid w:val="233E0A23"/>
    <w:rsid w:val="23476D20"/>
    <w:rsid w:val="2355768F"/>
    <w:rsid w:val="235651B5"/>
    <w:rsid w:val="23720241"/>
    <w:rsid w:val="237C4431"/>
    <w:rsid w:val="237D0994"/>
    <w:rsid w:val="238166D6"/>
    <w:rsid w:val="23867849"/>
    <w:rsid w:val="239C0AC9"/>
    <w:rsid w:val="23C44815"/>
    <w:rsid w:val="23DF21DE"/>
    <w:rsid w:val="23E64C3C"/>
    <w:rsid w:val="242552B4"/>
    <w:rsid w:val="244D65B8"/>
    <w:rsid w:val="245A2A83"/>
    <w:rsid w:val="248A5117"/>
    <w:rsid w:val="249146F7"/>
    <w:rsid w:val="24920DA8"/>
    <w:rsid w:val="24A85EE5"/>
    <w:rsid w:val="24DB1725"/>
    <w:rsid w:val="24F84776"/>
    <w:rsid w:val="24F86524"/>
    <w:rsid w:val="24F9229C"/>
    <w:rsid w:val="25034EC9"/>
    <w:rsid w:val="25076767"/>
    <w:rsid w:val="251C7C10"/>
    <w:rsid w:val="258650C2"/>
    <w:rsid w:val="258B2701"/>
    <w:rsid w:val="25FF38E2"/>
    <w:rsid w:val="26244CDB"/>
    <w:rsid w:val="263E440B"/>
    <w:rsid w:val="26753BA5"/>
    <w:rsid w:val="26926505"/>
    <w:rsid w:val="26B80661"/>
    <w:rsid w:val="26BB1EFF"/>
    <w:rsid w:val="26EA00EF"/>
    <w:rsid w:val="26FE1DEC"/>
    <w:rsid w:val="270513CC"/>
    <w:rsid w:val="27090EBD"/>
    <w:rsid w:val="27141FE2"/>
    <w:rsid w:val="27201D62"/>
    <w:rsid w:val="27533EE6"/>
    <w:rsid w:val="2756002D"/>
    <w:rsid w:val="27A42993"/>
    <w:rsid w:val="27A46490"/>
    <w:rsid w:val="27B150B0"/>
    <w:rsid w:val="27C51F90"/>
    <w:rsid w:val="28100A83"/>
    <w:rsid w:val="282B4E63"/>
    <w:rsid w:val="282F4953"/>
    <w:rsid w:val="284D4232"/>
    <w:rsid w:val="28BA1D43"/>
    <w:rsid w:val="28E374EB"/>
    <w:rsid w:val="28E46022"/>
    <w:rsid w:val="29017971"/>
    <w:rsid w:val="29114058"/>
    <w:rsid w:val="296F5223"/>
    <w:rsid w:val="297939AC"/>
    <w:rsid w:val="29A24CB1"/>
    <w:rsid w:val="29B844D4"/>
    <w:rsid w:val="2A326424"/>
    <w:rsid w:val="2A4A36B6"/>
    <w:rsid w:val="2A824AC9"/>
    <w:rsid w:val="2A9C7924"/>
    <w:rsid w:val="2ADB2B70"/>
    <w:rsid w:val="2ADB491E"/>
    <w:rsid w:val="2B345DDC"/>
    <w:rsid w:val="2B3C2EE3"/>
    <w:rsid w:val="2BC33B83"/>
    <w:rsid w:val="2BDE5160"/>
    <w:rsid w:val="2C041C52"/>
    <w:rsid w:val="2C1F6654"/>
    <w:rsid w:val="2C2E6CCF"/>
    <w:rsid w:val="2C595610"/>
    <w:rsid w:val="2C932FD6"/>
    <w:rsid w:val="2D0068BE"/>
    <w:rsid w:val="2D0D4B37"/>
    <w:rsid w:val="2D346567"/>
    <w:rsid w:val="2D5269EE"/>
    <w:rsid w:val="2D530A8A"/>
    <w:rsid w:val="2D786D08"/>
    <w:rsid w:val="2D960FD0"/>
    <w:rsid w:val="2DAD00C8"/>
    <w:rsid w:val="2DB63420"/>
    <w:rsid w:val="2DD37B2E"/>
    <w:rsid w:val="2DD724C3"/>
    <w:rsid w:val="2DE02345"/>
    <w:rsid w:val="2DE53D06"/>
    <w:rsid w:val="2DFB7E63"/>
    <w:rsid w:val="2E06164D"/>
    <w:rsid w:val="2E114AFB"/>
    <w:rsid w:val="2E33681F"/>
    <w:rsid w:val="2E6F6B28"/>
    <w:rsid w:val="2EA25753"/>
    <w:rsid w:val="2F4D3910"/>
    <w:rsid w:val="2F546A4D"/>
    <w:rsid w:val="2F633134"/>
    <w:rsid w:val="2F634EE2"/>
    <w:rsid w:val="2F805A94"/>
    <w:rsid w:val="30316D8E"/>
    <w:rsid w:val="30474804"/>
    <w:rsid w:val="306E7FE2"/>
    <w:rsid w:val="30F77FD8"/>
    <w:rsid w:val="30FF0C3A"/>
    <w:rsid w:val="310E0E7D"/>
    <w:rsid w:val="31456F95"/>
    <w:rsid w:val="314B20D2"/>
    <w:rsid w:val="31660CB9"/>
    <w:rsid w:val="31C05DC4"/>
    <w:rsid w:val="32116E77"/>
    <w:rsid w:val="323B5CA2"/>
    <w:rsid w:val="32B3444F"/>
    <w:rsid w:val="32D700C1"/>
    <w:rsid w:val="32D83E39"/>
    <w:rsid w:val="32EC51EE"/>
    <w:rsid w:val="3316226B"/>
    <w:rsid w:val="333B1DB0"/>
    <w:rsid w:val="33C30645"/>
    <w:rsid w:val="33E749DF"/>
    <w:rsid w:val="33F56325"/>
    <w:rsid w:val="34313801"/>
    <w:rsid w:val="347B4A7C"/>
    <w:rsid w:val="34AE07E1"/>
    <w:rsid w:val="34C401D1"/>
    <w:rsid w:val="355A28E3"/>
    <w:rsid w:val="35645468"/>
    <w:rsid w:val="35C506A4"/>
    <w:rsid w:val="36121410"/>
    <w:rsid w:val="365657A0"/>
    <w:rsid w:val="36913781"/>
    <w:rsid w:val="36C73FA8"/>
    <w:rsid w:val="36CD05C3"/>
    <w:rsid w:val="36CF10AF"/>
    <w:rsid w:val="36DD498F"/>
    <w:rsid w:val="36F4212A"/>
    <w:rsid w:val="36F6488E"/>
    <w:rsid w:val="36F8068E"/>
    <w:rsid w:val="3701395E"/>
    <w:rsid w:val="37217B5C"/>
    <w:rsid w:val="37284A49"/>
    <w:rsid w:val="374F5C96"/>
    <w:rsid w:val="37AE6F16"/>
    <w:rsid w:val="381E22EE"/>
    <w:rsid w:val="386F66A6"/>
    <w:rsid w:val="3870241E"/>
    <w:rsid w:val="38765C86"/>
    <w:rsid w:val="38957B7A"/>
    <w:rsid w:val="38966328"/>
    <w:rsid w:val="38BB165C"/>
    <w:rsid w:val="38F60B75"/>
    <w:rsid w:val="390A508C"/>
    <w:rsid w:val="39195C0A"/>
    <w:rsid w:val="394A0EC1"/>
    <w:rsid w:val="39D07618"/>
    <w:rsid w:val="3A2D4A6A"/>
    <w:rsid w:val="3A325BDD"/>
    <w:rsid w:val="3A6F6E31"/>
    <w:rsid w:val="3A7E52C6"/>
    <w:rsid w:val="3B163750"/>
    <w:rsid w:val="3B3F5877"/>
    <w:rsid w:val="3B603060"/>
    <w:rsid w:val="3B7346FF"/>
    <w:rsid w:val="3BA42B0A"/>
    <w:rsid w:val="3BA50AE5"/>
    <w:rsid w:val="3BB30F9F"/>
    <w:rsid w:val="3BB970C6"/>
    <w:rsid w:val="3BC96A15"/>
    <w:rsid w:val="3BE70C49"/>
    <w:rsid w:val="3C7A386B"/>
    <w:rsid w:val="3C961760"/>
    <w:rsid w:val="3C9963E7"/>
    <w:rsid w:val="3CA60B04"/>
    <w:rsid w:val="3CAA23A2"/>
    <w:rsid w:val="3CAD1E92"/>
    <w:rsid w:val="3CB90837"/>
    <w:rsid w:val="3CDE0410"/>
    <w:rsid w:val="3CE12235"/>
    <w:rsid w:val="3CE60F00"/>
    <w:rsid w:val="3CFB4E28"/>
    <w:rsid w:val="3D632551"/>
    <w:rsid w:val="3D6C58AA"/>
    <w:rsid w:val="3D74650C"/>
    <w:rsid w:val="3DD84CED"/>
    <w:rsid w:val="3E111FAD"/>
    <w:rsid w:val="3E1C107E"/>
    <w:rsid w:val="3E1D6BA4"/>
    <w:rsid w:val="3E5B3DE7"/>
    <w:rsid w:val="3EDC6A5F"/>
    <w:rsid w:val="3EF67B21"/>
    <w:rsid w:val="3F2B709E"/>
    <w:rsid w:val="3F370D90"/>
    <w:rsid w:val="3F39172B"/>
    <w:rsid w:val="3F47037C"/>
    <w:rsid w:val="3F7D78FA"/>
    <w:rsid w:val="3FB05F21"/>
    <w:rsid w:val="3FB23BEB"/>
    <w:rsid w:val="3FC71FC7"/>
    <w:rsid w:val="3FDA11F0"/>
    <w:rsid w:val="3FF102E8"/>
    <w:rsid w:val="3FF83425"/>
    <w:rsid w:val="400247A4"/>
    <w:rsid w:val="402B55A8"/>
    <w:rsid w:val="40416B7A"/>
    <w:rsid w:val="404B79F8"/>
    <w:rsid w:val="409475F1"/>
    <w:rsid w:val="40AD06B3"/>
    <w:rsid w:val="40B76E3C"/>
    <w:rsid w:val="40D75730"/>
    <w:rsid w:val="411E335F"/>
    <w:rsid w:val="416E7E42"/>
    <w:rsid w:val="41865230"/>
    <w:rsid w:val="418807D8"/>
    <w:rsid w:val="41950E9A"/>
    <w:rsid w:val="41C21F3C"/>
    <w:rsid w:val="41EA1493"/>
    <w:rsid w:val="41F852E7"/>
    <w:rsid w:val="420A5691"/>
    <w:rsid w:val="4226071D"/>
    <w:rsid w:val="4227255A"/>
    <w:rsid w:val="42323228"/>
    <w:rsid w:val="423C1CEE"/>
    <w:rsid w:val="426A0E03"/>
    <w:rsid w:val="426D634C"/>
    <w:rsid w:val="42B83F5B"/>
    <w:rsid w:val="43236A0A"/>
    <w:rsid w:val="43326C4D"/>
    <w:rsid w:val="43364990"/>
    <w:rsid w:val="434D6D89"/>
    <w:rsid w:val="43A91A60"/>
    <w:rsid w:val="43BE05BF"/>
    <w:rsid w:val="43C26223"/>
    <w:rsid w:val="44064C80"/>
    <w:rsid w:val="442962A2"/>
    <w:rsid w:val="44365E0D"/>
    <w:rsid w:val="444035EC"/>
    <w:rsid w:val="446545CB"/>
    <w:rsid w:val="44996289"/>
    <w:rsid w:val="44AD0C2A"/>
    <w:rsid w:val="44DC50C3"/>
    <w:rsid w:val="4504439A"/>
    <w:rsid w:val="450A5A18"/>
    <w:rsid w:val="45156827"/>
    <w:rsid w:val="45303661"/>
    <w:rsid w:val="45390560"/>
    <w:rsid w:val="45570BED"/>
    <w:rsid w:val="45625783"/>
    <w:rsid w:val="45D73ADC"/>
    <w:rsid w:val="46195EA3"/>
    <w:rsid w:val="461B7E6D"/>
    <w:rsid w:val="466E4440"/>
    <w:rsid w:val="469D6AD4"/>
    <w:rsid w:val="4792415F"/>
    <w:rsid w:val="47AB17F6"/>
    <w:rsid w:val="47BC11DC"/>
    <w:rsid w:val="47C54534"/>
    <w:rsid w:val="47E0311C"/>
    <w:rsid w:val="47FC782A"/>
    <w:rsid w:val="48256D81"/>
    <w:rsid w:val="489A2419"/>
    <w:rsid w:val="48CB7AD2"/>
    <w:rsid w:val="48FF50DD"/>
    <w:rsid w:val="49595D88"/>
    <w:rsid w:val="49601FB8"/>
    <w:rsid w:val="49706721"/>
    <w:rsid w:val="49B36701"/>
    <w:rsid w:val="49B717B1"/>
    <w:rsid w:val="49C5081B"/>
    <w:rsid w:val="49C64593"/>
    <w:rsid w:val="49DC5B65"/>
    <w:rsid w:val="49FC11EF"/>
    <w:rsid w:val="4A382905"/>
    <w:rsid w:val="4A3A527B"/>
    <w:rsid w:val="4A745D9D"/>
    <w:rsid w:val="4A7933B4"/>
    <w:rsid w:val="4A8E6E5F"/>
    <w:rsid w:val="4AE36C06"/>
    <w:rsid w:val="4AE56E9A"/>
    <w:rsid w:val="4B220722"/>
    <w:rsid w:val="4B614574"/>
    <w:rsid w:val="4B936A8A"/>
    <w:rsid w:val="4B9761E7"/>
    <w:rsid w:val="4BDB773A"/>
    <w:rsid w:val="4BE1780F"/>
    <w:rsid w:val="4BEB7E9C"/>
    <w:rsid w:val="4CCE6A8F"/>
    <w:rsid w:val="4CD9638C"/>
    <w:rsid w:val="4CF3744D"/>
    <w:rsid w:val="4D063625"/>
    <w:rsid w:val="4D1F46E6"/>
    <w:rsid w:val="4D243AAB"/>
    <w:rsid w:val="4D6D36A4"/>
    <w:rsid w:val="4D8D5933"/>
    <w:rsid w:val="4DAD1CF2"/>
    <w:rsid w:val="4DAD3AA0"/>
    <w:rsid w:val="4DB50BA7"/>
    <w:rsid w:val="4DE952E5"/>
    <w:rsid w:val="4E1C6E78"/>
    <w:rsid w:val="4E1E04FA"/>
    <w:rsid w:val="4EA50C1B"/>
    <w:rsid w:val="4EAD7AD0"/>
    <w:rsid w:val="4EC76DE4"/>
    <w:rsid w:val="4EEF5810"/>
    <w:rsid w:val="4F021BCA"/>
    <w:rsid w:val="4F196F13"/>
    <w:rsid w:val="4F4915A7"/>
    <w:rsid w:val="4F6C34E7"/>
    <w:rsid w:val="4F9F096D"/>
    <w:rsid w:val="4FC926E8"/>
    <w:rsid w:val="4FDA48F5"/>
    <w:rsid w:val="4FDC68BF"/>
    <w:rsid w:val="4FDF1F0B"/>
    <w:rsid w:val="4FF4200C"/>
    <w:rsid w:val="4FFF6109"/>
    <w:rsid w:val="501E6ED7"/>
    <w:rsid w:val="503B1D58"/>
    <w:rsid w:val="505F660B"/>
    <w:rsid w:val="50B1337A"/>
    <w:rsid w:val="50BD049E"/>
    <w:rsid w:val="5134057D"/>
    <w:rsid w:val="513F1F3B"/>
    <w:rsid w:val="51826FF2"/>
    <w:rsid w:val="51874608"/>
    <w:rsid w:val="51A4340C"/>
    <w:rsid w:val="51DC4954"/>
    <w:rsid w:val="52214363"/>
    <w:rsid w:val="52622C38"/>
    <w:rsid w:val="52630BD1"/>
    <w:rsid w:val="526F3A1A"/>
    <w:rsid w:val="528A2602"/>
    <w:rsid w:val="52B1623B"/>
    <w:rsid w:val="52B458D1"/>
    <w:rsid w:val="52C5363A"/>
    <w:rsid w:val="52D23FA9"/>
    <w:rsid w:val="52EA4E4F"/>
    <w:rsid w:val="53046FC0"/>
    <w:rsid w:val="530B42C2"/>
    <w:rsid w:val="534C781A"/>
    <w:rsid w:val="53560736"/>
    <w:rsid w:val="53760DD8"/>
    <w:rsid w:val="537F7C8D"/>
    <w:rsid w:val="53BF0089"/>
    <w:rsid w:val="54092004"/>
    <w:rsid w:val="54095938"/>
    <w:rsid w:val="54216B80"/>
    <w:rsid w:val="54375A11"/>
    <w:rsid w:val="54436421"/>
    <w:rsid w:val="54853ABA"/>
    <w:rsid w:val="548D29A1"/>
    <w:rsid w:val="54BF0D1B"/>
    <w:rsid w:val="5503669C"/>
    <w:rsid w:val="553B7BE4"/>
    <w:rsid w:val="55C46948"/>
    <w:rsid w:val="55C71477"/>
    <w:rsid w:val="55DC6A61"/>
    <w:rsid w:val="560328C4"/>
    <w:rsid w:val="56375DED"/>
    <w:rsid w:val="5640122A"/>
    <w:rsid w:val="56551179"/>
    <w:rsid w:val="56785D5C"/>
    <w:rsid w:val="56B85264"/>
    <w:rsid w:val="56ED13B1"/>
    <w:rsid w:val="56F72230"/>
    <w:rsid w:val="575D64CC"/>
    <w:rsid w:val="576176AA"/>
    <w:rsid w:val="57A47B2A"/>
    <w:rsid w:val="57D45CF1"/>
    <w:rsid w:val="57DA74B2"/>
    <w:rsid w:val="57F66044"/>
    <w:rsid w:val="57F86260"/>
    <w:rsid w:val="57F90779"/>
    <w:rsid w:val="580A21FF"/>
    <w:rsid w:val="58276B45"/>
    <w:rsid w:val="587578B0"/>
    <w:rsid w:val="58810003"/>
    <w:rsid w:val="58A91308"/>
    <w:rsid w:val="58D65634"/>
    <w:rsid w:val="59084281"/>
    <w:rsid w:val="5923730C"/>
    <w:rsid w:val="593C03CE"/>
    <w:rsid w:val="594352B9"/>
    <w:rsid w:val="598A113A"/>
    <w:rsid w:val="59943D66"/>
    <w:rsid w:val="5A0313FD"/>
    <w:rsid w:val="5A6527F3"/>
    <w:rsid w:val="5A897643"/>
    <w:rsid w:val="5AA20705"/>
    <w:rsid w:val="5ABA15AB"/>
    <w:rsid w:val="5AF70A51"/>
    <w:rsid w:val="5B5419FF"/>
    <w:rsid w:val="5B547C51"/>
    <w:rsid w:val="5B6F05E7"/>
    <w:rsid w:val="5B7025B1"/>
    <w:rsid w:val="5B98729D"/>
    <w:rsid w:val="5B9F2500"/>
    <w:rsid w:val="5BCC3C8B"/>
    <w:rsid w:val="5C090A3C"/>
    <w:rsid w:val="5C553C81"/>
    <w:rsid w:val="5C5679F9"/>
    <w:rsid w:val="5C891B7C"/>
    <w:rsid w:val="5CC44962"/>
    <w:rsid w:val="5CCB3F43"/>
    <w:rsid w:val="5CD54DC2"/>
    <w:rsid w:val="5CDD3C76"/>
    <w:rsid w:val="5D071531"/>
    <w:rsid w:val="5D414205"/>
    <w:rsid w:val="5DBC388C"/>
    <w:rsid w:val="5DDF5CD5"/>
    <w:rsid w:val="5E2A2EEB"/>
    <w:rsid w:val="5E660AD4"/>
    <w:rsid w:val="5EBD78BB"/>
    <w:rsid w:val="5EE979A4"/>
    <w:rsid w:val="5F4E49B7"/>
    <w:rsid w:val="5F8B6ACE"/>
    <w:rsid w:val="5FB707AE"/>
    <w:rsid w:val="5FBC39F2"/>
    <w:rsid w:val="60082DB8"/>
    <w:rsid w:val="601E18C0"/>
    <w:rsid w:val="602C2F4B"/>
    <w:rsid w:val="603B4F3C"/>
    <w:rsid w:val="6048342C"/>
    <w:rsid w:val="60526456"/>
    <w:rsid w:val="60624BBE"/>
    <w:rsid w:val="60854409"/>
    <w:rsid w:val="60B151FE"/>
    <w:rsid w:val="60C459A3"/>
    <w:rsid w:val="60DB227B"/>
    <w:rsid w:val="60E308E3"/>
    <w:rsid w:val="60F44CBD"/>
    <w:rsid w:val="60F85595"/>
    <w:rsid w:val="60FD75AC"/>
    <w:rsid w:val="612D6377"/>
    <w:rsid w:val="613C540F"/>
    <w:rsid w:val="6170330B"/>
    <w:rsid w:val="61B431F8"/>
    <w:rsid w:val="61D44853"/>
    <w:rsid w:val="6208709F"/>
    <w:rsid w:val="623C4F9B"/>
    <w:rsid w:val="624327CD"/>
    <w:rsid w:val="627806C9"/>
    <w:rsid w:val="62816E52"/>
    <w:rsid w:val="62913539"/>
    <w:rsid w:val="629E17B2"/>
    <w:rsid w:val="62B80AC5"/>
    <w:rsid w:val="62C27B96"/>
    <w:rsid w:val="633421CB"/>
    <w:rsid w:val="6367429A"/>
    <w:rsid w:val="63BD3EBA"/>
    <w:rsid w:val="63FD075A"/>
    <w:rsid w:val="641E704E"/>
    <w:rsid w:val="64416899"/>
    <w:rsid w:val="6454481E"/>
    <w:rsid w:val="64623156"/>
    <w:rsid w:val="646A4041"/>
    <w:rsid w:val="649E6569"/>
    <w:rsid w:val="64DB47D3"/>
    <w:rsid w:val="65493C57"/>
    <w:rsid w:val="655A40B6"/>
    <w:rsid w:val="658729D1"/>
    <w:rsid w:val="65913850"/>
    <w:rsid w:val="65A11BF2"/>
    <w:rsid w:val="65B72E80"/>
    <w:rsid w:val="65CD59F4"/>
    <w:rsid w:val="66434B4A"/>
    <w:rsid w:val="664D59C9"/>
    <w:rsid w:val="666D1BC7"/>
    <w:rsid w:val="66A31A8D"/>
    <w:rsid w:val="66F26971"/>
    <w:rsid w:val="66FC2F4B"/>
    <w:rsid w:val="670217A3"/>
    <w:rsid w:val="673D5A3D"/>
    <w:rsid w:val="67670D0C"/>
    <w:rsid w:val="67D22629"/>
    <w:rsid w:val="67DC0C16"/>
    <w:rsid w:val="67ED29D8"/>
    <w:rsid w:val="67EE6D37"/>
    <w:rsid w:val="68152516"/>
    <w:rsid w:val="683D381B"/>
    <w:rsid w:val="687731D1"/>
    <w:rsid w:val="68F0088D"/>
    <w:rsid w:val="68F95B59"/>
    <w:rsid w:val="694766FF"/>
    <w:rsid w:val="695936D5"/>
    <w:rsid w:val="696C0215"/>
    <w:rsid w:val="69CE5517"/>
    <w:rsid w:val="69FA5E67"/>
    <w:rsid w:val="6A0B3BD1"/>
    <w:rsid w:val="6A301889"/>
    <w:rsid w:val="6A3824EC"/>
    <w:rsid w:val="6A3D7B02"/>
    <w:rsid w:val="6A6077E9"/>
    <w:rsid w:val="6A6D488B"/>
    <w:rsid w:val="6AE127F5"/>
    <w:rsid w:val="6AEF34F2"/>
    <w:rsid w:val="6B0F5943"/>
    <w:rsid w:val="6B563571"/>
    <w:rsid w:val="6B5C52B4"/>
    <w:rsid w:val="6B67638B"/>
    <w:rsid w:val="6B6C68F1"/>
    <w:rsid w:val="6B8F0831"/>
    <w:rsid w:val="6BCF3EF1"/>
    <w:rsid w:val="6BDF23C5"/>
    <w:rsid w:val="6BEF2E8E"/>
    <w:rsid w:val="6C000636"/>
    <w:rsid w:val="6C194BDE"/>
    <w:rsid w:val="6C944351"/>
    <w:rsid w:val="6CC909AD"/>
    <w:rsid w:val="6CCD33BF"/>
    <w:rsid w:val="6CDD63F2"/>
    <w:rsid w:val="6CE81FA7"/>
    <w:rsid w:val="6D452F22"/>
    <w:rsid w:val="6D723F67"/>
    <w:rsid w:val="6D82064E"/>
    <w:rsid w:val="6DA32372"/>
    <w:rsid w:val="6DC36570"/>
    <w:rsid w:val="6E0472B5"/>
    <w:rsid w:val="6E35746E"/>
    <w:rsid w:val="6E365DA8"/>
    <w:rsid w:val="6E445903"/>
    <w:rsid w:val="6E7510E8"/>
    <w:rsid w:val="6EAB7730"/>
    <w:rsid w:val="6EC802E2"/>
    <w:rsid w:val="6ED22F0F"/>
    <w:rsid w:val="6EE64C0C"/>
    <w:rsid w:val="6EF8049C"/>
    <w:rsid w:val="6F060E0B"/>
    <w:rsid w:val="6F103A37"/>
    <w:rsid w:val="6F3F60CB"/>
    <w:rsid w:val="6F502086"/>
    <w:rsid w:val="6F9E54E7"/>
    <w:rsid w:val="700417EE"/>
    <w:rsid w:val="702552C0"/>
    <w:rsid w:val="704812DB"/>
    <w:rsid w:val="704F058F"/>
    <w:rsid w:val="706639C8"/>
    <w:rsid w:val="712A5284"/>
    <w:rsid w:val="712E4649"/>
    <w:rsid w:val="71324139"/>
    <w:rsid w:val="713F6856"/>
    <w:rsid w:val="716D6F1F"/>
    <w:rsid w:val="717A163C"/>
    <w:rsid w:val="719D69F4"/>
    <w:rsid w:val="71B52674"/>
    <w:rsid w:val="71D074AE"/>
    <w:rsid w:val="72252EC6"/>
    <w:rsid w:val="722F68CA"/>
    <w:rsid w:val="723B526F"/>
    <w:rsid w:val="724337DE"/>
    <w:rsid w:val="726227FC"/>
    <w:rsid w:val="7265409A"/>
    <w:rsid w:val="72676064"/>
    <w:rsid w:val="72872262"/>
    <w:rsid w:val="72C74D55"/>
    <w:rsid w:val="72EC65AF"/>
    <w:rsid w:val="730E64E0"/>
    <w:rsid w:val="73353A6C"/>
    <w:rsid w:val="735F0AE9"/>
    <w:rsid w:val="7370719A"/>
    <w:rsid w:val="741369EC"/>
    <w:rsid w:val="74275AAB"/>
    <w:rsid w:val="746254A9"/>
    <w:rsid w:val="74795BDB"/>
    <w:rsid w:val="748A53C5"/>
    <w:rsid w:val="748B42AD"/>
    <w:rsid w:val="748E7E71"/>
    <w:rsid w:val="748F53FE"/>
    <w:rsid w:val="74C01A5C"/>
    <w:rsid w:val="74DA48CB"/>
    <w:rsid w:val="74FC0CE6"/>
    <w:rsid w:val="75204114"/>
    <w:rsid w:val="75377F70"/>
    <w:rsid w:val="753F0BD2"/>
    <w:rsid w:val="75A673F5"/>
    <w:rsid w:val="75AF3FAA"/>
    <w:rsid w:val="7601057E"/>
    <w:rsid w:val="76261D92"/>
    <w:rsid w:val="764346F2"/>
    <w:rsid w:val="765B4D3E"/>
    <w:rsid w:val="767B3E8C"/>
    <w:rsid w:val="76C84BF7"/>
    <w:rsid w:val="76C9109B"/>
    <w:rsid w:val="76F4656E"/>
    <w:rsid w:val="77242776"/>
    <w:rsid w:val="774626EC"/>
    <w:rsid w:val="774A0D27"/>
    <w:rsid w:val="778B45A3"/>
    <w:rsid w:val="77D07CDD"/>
    <w:rsid w:val="77DE2925"/>
    <w:rsid w:val="77EB6DF0"/>
    <w:rsid w:val="78054355"/>
    <w:rsid w:val="780F6F82"/>
    <w:rsid w:val="788259A6"/>
    <w:rsid w:val="788D434B"/>
    <w:rsid w:val="78B81D2B"/>
    <w:rsid w:val="78E24696"/>
    <w:rsid w:val="790B3FAF"/>
    <w:rsid w:val="79196F61"/>
    <w:rsid w:val="79627585"/>
    <w:rsid w:val="79892D64"/>
    <w:rsid w:val="79A9007F"/>
    <w:rsid w:val="79C601B6"/>
    <w:rsid w:val="79E47F9A"/>
    <w:rsid w:val="79E65AC0"/>
    <w:rsid w:val="79F20909"/>
    <w:rsid w:val="7A2D7B93"/>
    <w:rsid w:val="7A37456E"/>
    <w:rsid w:val="7A410F49"/>
    <w:rsid w:val="7A6A04A0"/>
    <w:rsid w:val="7AAD2A82"/>
    <w:rsid w:val="7AC422A5"/>
    <w:rsid w:val="7AC62379"/>
    <w:rsid w:val="7B1F572E"/>
    <w:rsid w:val="7B357F37"/>
    <w:rsid w:val="7B42766E"/>
    <w:rsid w:val="7B470223"/>
    <w:rsid w:val="7B4A02D1"/>
    <w:rsid w:val="7B7F7F7B"/>
    <w:rsid w:val="7B821819"/>
    <w:rsid w:val="7B8657AD"/>
    <w:rsid w:val="7BAB5214"/>
    <w:rsid w:val="7BBA0FB3"/>
    <w:rsid w:val="7BBA4429"/>
    <w:rsid w:val="7BFC15CB"/>
    <w:rsid w:val="7C0041E8"/>
    <w:rsid w:val="7C6E0CB7"/>
    <w:rsid w:val="7CCE3522"/>
    <w:rsid w:val="7D080444"/>
    <w:rsid w:val="7D2863F0"/>
    <w:rsid w:val="7D3B3074"/>
    <w:rsid w:val="7D567A86"/>
    <w:rsid w:val="7D6E02A7"/>
    <w:rsid w:val="7DA270F0"/>
    <w:rsid w:val="7DBD122E"/>
    <w:rsid w:val="7E0155BF"/>
    <w:rsid w:val="7E0806FB"/>
    <w:rsid w:val="7E244E09"/>
    <w:rsid w:val="7E633B84"/>
    <w:rsid w:val="7E6F077A"/>
    <w:rsid w:val="7EB0669D"/>
    <w:rsid w:val="7EB22415"/>
    <w:rsid w:val="7ED54A28"/>
    <w:rsid w:val="7EE91B44"/>
    <w:rsid w:val="7EF70770"/>
    <w:rsid w:val="7F3B065C"/>
    <w:rsid w:val="7F6A0F42"/>
    <w:rsid w:val="7F6F0306"/>
    <w:rsid w:val="7F8244DD"/>
    <w:rsid w:val="7F8A5140"/>
    <w:rsid w:val="7F9D30C5"/>
    <w:rsid w:val="7F9E6CBF"/>
    <w:rsid w:val="7FEA7168"/>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仿宋" w:cs="仿宋"/>
      <w:sz w:val="32"/>
      <w:szCs w:val="32"/>
      <w:lang w:val="en-US" w:eastAsia="en-US" w:bidi="ar-SA"/>
    </w:rPr>
  </w:style>
  <w:style w:type="paragraph" w:styleId="2">
    <w:name w:val="heading 1"/>
    <w:basedOn w:val="1"/>
    <w:next w:val="1"/>
    <w:qFormat/>
    <w:uiPriority w:val="1"/>
    <w:pPr>
      <w:spacing w:before="67"/>
      <w:ind w:left="231" w:right="669" w:hanging="2871"/>
      <w:outlineLvl w:val="0"/>
    </w:pPr>
    <w:rPr>
      <w:rFonts w:ascii="方正小标宋简体" w:hAnsi="方正小标宋简体" w:eastAsia="方正小标宋简体" w:cs="方正小标宋简体"/>
      <w:b/>
      <w:bCs/>
      <w:sz w:val="44"/>
      <w:szCs w:val="44"/>
    </w:rPr>
  </w:style>
  <w:style w:type="paragraph" w:styleId="3">
    <w:name w:val="heading 2"/>
    <w:basedOn w:val="1"/>
    <w:next w:val="1"/>
    <w:qFormat/>
    <w:uiPriority w:val="1"/>
    <w:pPr>
      <w:spacing w:line="751" w:lineRule="exact"/>
      <w:ind w:left="-20"/>
      <w:outlineLvl w:val="1"/>
    </w:pPr>
    <w:rPr>
      <w:rFonts w:ascii="方正小标宋简体" w:hAnsi="方正小标宋简体" w:eastAsia="方正小标宋简体" w:cs="方正小标宋简体"/>
      <w:sz w:val="44"/>
      <w:szCs w:val="44"/>
    </w:rPr>
  </w:style>
  <w:style w:type="paragraph" w:styleId="4">
    <w:name w:val="heading 3"/>
    <w:basedOn w:val="1"/>
    <w:next w:val="1"/>
    <w:qFormat/>
    <w:uiPriority w:val="1"/>
    <w:pPr>
      <w:ind w:left="108"/>
      <w:outlineLvl w:val="2"/>
    </w:pPr>
    <w:rPr>
      <w:rFonts w:ascii="Microsoft JhengHei" w:hAnsi="Microsoft JhengHei" w:eastAsia="Microsoft JhengHei" w:cs="Microsoft JhengHei"/>
      <w:b/>
      <w:bCs/>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Title"/>
    <w:basedOn w:val="1"/>
    <w:next w:val="9"/>
    <w:qFormat/>
    <w:uiPriority w:val="99"/>
    <w:pPr>
      <w:jc w:val="center"/>
      <w:outlineLvl w:val="0"/>
    </w:pPr>
    <w:rPr>
      <w:rFonts w:ascii="Cambria" w:hAnsi="Cambria" w:cs="Cambria"/>
      <w:b/>
      <w:bCs/>
    </w:rPr>
  </w:style>
  <w:style w:type="paragraph" w:customStyle="1" w:styleId="9">
    <w:name w:val="BodyTextIndent"/>
    <w:qFormat/>
    <w:uiPriority w:val="99"/>
    <w:pPr>
      <w:widowControl w:val="0"/>
      <w:spacing w:line="570" w:lineRule="exact"/>
      <w:ind w:firstLine="616" w:firstLineChars="200"/>
      <w:jc w:val="both"/>
    </w:pPr>
    <w:rPr>
      <w:rFonts w:ascii="Times New Roman" w:hAnsi="Times New Roman" w:eastAsia="宋体" w:cs="Times New Roman"/>
      <w:spacing w:val="-6"/>
      <w:kern w:val="2"/>
      <w:sz w:val="21"/>
      <w:szCs w:val="21"/>
      <w:lang w:val="en-US" w:eastAsia="zh-CN" w:bidi="ar-SA"/>
    </w:rPr>
  </w:style>
  <w:style w:type="character" w:styleId="12">
    <w:name w:val="page number"/>
    <w:basedOn w:val="11"/>
    <w:qFormat/>
    <w:uiPriority w:val="0"/>
  </w:style>
  <w:style w:type="paragraph" w:customStyle="1" w:styleId="13">
    <w:name w:val="Normal Indent1"/>
    <w:basedOn w:val="1"/>
    <w:qFormat/>
    <w:uiPriority w:val="99"/>
    <w:pPr>
      <w:ind w:firstLine="420" w:firstLineChars="200"/>
    </w:pPr>
  </w:style>
  <w:style w:type="character" w:customStyle="1" w:styleId="14">
    <w:name w:val="font121"/>
    <w:basedOn w:val="11"/>
    <w:qFormat/>
    <w:uiPriority w:val="0"/>
    <w:rPr>
      <w:rFonts w:hint="eastAsia" w:ascii="仿宋" w:hAnsi="仿宋" w:eastAsia="仿宋" w:cs="仿宋"/>
      <w:color w:val="000000"/>
      <w:sz w:val="24"/>
      <w:szCs w:val="24"/>
      <w:u w:val="none"/>
    </w:rPr>
  </w:style>
  <w:style w:type="character" w:customStyle="1" w:styleId="15">
    <w:name w:val="font112"/>
    <w:basedOn w:val="11"/>
    <w:qFormat/>
    <w:uiPriority w:val="0"/>
    <w:rPr>
      <w:rFonts w:hint="eastAsia" w:ascii="仿宋" w:hAnsi="仿宋" w:eastAsia="仿宋" w:cs="仿宋"/>
      <w:b/>
      <w:bCs/>
      <w:color w:val="000000"/>
      <w:sz w:val="24"/>
      <w:szCs w:val="24"/>
      <w:u w:val="none"/>
    </w:rPr>
  </w:style>
  <w:style w:type="character" w:customStyle="1" w:styleId="16">
    <w:name w:val="font41"/>
    <w:basedOn w:val="11"/>
    <w:qFormat/>
    <w:uiPriority w:val="0"/>
    <w:rPr>
      <w:rFonts w:hint="default" w:ascii="Times New Roman" w:hAnsi="Times New Roman" w:cs="Times New Roman"/>
      <w:b/>
      <w:bCs/>
      <w:color w:val="000000"/>
      <w:sz w:val="24"/>
      <w:szCs w:val="24"/>
      <w:u w:val="none"/>
    </w:rPr>
  </w:style>
  <w:style w:type="character" w:customStyle="1" w:styleId="17">
    <w:name w:val="font101"/>
    <w:basedOn w:val="11"/>
    <w:qFormat/>
    <w:uiPriority w:val="0"/>
    <w:rPr>
      <w:rFonts w:hint="default" w:ascii="Times New Roman" w:hAnsi="Times New Roman" w:cs="Times New Roman"/>
      <w:color w:val="000000"/>
      <w:sz w:val="24"/>
      <w:szCs w:val="24"/>
      <w:u w:val="none"/>
    </w:rPr>
  </w:style>
  <w:style w:type="character" w:customStyle="1" w:styleId="18">
    <w:name w:val="font91"/>
    <w:basedOn w:val="11"/>
    <w:qFormat/>
    <w:uiPriority w:val="0"/>
    <w:rPr>
      <w:rFonts w:hint="eastAsia" w:ascii="仿宋" w:hAnsi="仿宋" w:eastAsia="仿宋" w:cs="仿宋"/>
      <w:color w:val="000000"/>
      <w:sz w:val="28"/>
      <w:szCs w:val="28"/>
      <w:u w:val="none"/>
    </w:rPr>
  </w:style>
  <w:style w:type="character" w:customStyle="1" w:styleId="19">
    <w:name w:val="font11"/>
    <w:basedOn w:val="11"/>
    <w:qFormat/>
    <w:uiPriority w:val="0"/>
    <w:rPr>
      <w:rFonts w:hint="eastAsia" w:ascii="宋体" w:hAnsi="宋体" w:eastAsia="宋体" w:cs="宋体"/>
      <w:color w:val="000000"/>
      <w:sz w:val="22"/>
      <w:szCs w:val="22"/>
      <w:u w:val="none"/>
    </w:rPr>
  </w:style>
  <w:style w:type="paragraph" w:customStyle="1" w:styleId="20">
    <w:name w:val="Revision"/>
    <w:hidden/>
    <w:unhideWhenUsed/>
    <w:qFormat/>
    <w:uiPriority w:val="99"/>
    <w:rPr>
      <w:rFonts w:ascii="Times New Roman" w:hAnsi="Times New Roman" w:eastAsia="仿宋" w:cs="仿宋"/>
      <w:sz w:val="32"/>
      <w:szCs w:val="3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40665</Words>
  <Characters>41948</Characters>
  <Lines>311</Lines>
  <Paragraphs>87</Paragraphs>
  <TotalTime>4</TotalTime>
  <ScaleCrop>false</ScaleCrop>
  <LinksUpToDate>false</LinksUpToDate>
  <CharactersWithSpaces>42268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2023-12-22T09:31:00Z</dcterms:created>
  <dc:creator>欢欢不骗奶奶</dc:creator>
  <cp:lastModifiedBy>吴  庭</cp:lastModifiedBy>
  <dcterms:modified xsi:type="dcterms:W3CDTF">2023-12-27T08:35:04Z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57EF36E19AFC46F09C9FC4DA283D3780_13</vt:lpwstr>
  </property>
</Properties>
</file>